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1C6CCD" w14:textId="226A437E" w:rsidR="005E1F4B" w:rsidRPr="00A45103" w:rsidRDefault="005E1F4B" w:rsidP="009026AE">
      <w:pPr>
        <w:pStyle w:val="3GPPHeader"/>
        <w:snapToGrid w:val="0"/>
        <w:rPr>
          <w:sz w:val="22"/>
          <w:szCs w:val="22"/>
        </w:rPr>
      </w:pPr>
      <w:r w:rsidRPr="00A45103">
        <w:rPr>
          <w:sz w:val="22"/>
          <w:szCs w:val="22"/>
        </w:rPr>
        <w:t>3GPP TSG</w:t>
      </w:r>
      <w:r w:rsidR="00D07766">
        <w:rPr>
          <w:sz w:val="22"/>
          <w:szCs w:val="22"/>
        </w:rPr>
        <w:t xml:space="preserve"> </w:t>
      </w:r>
      <w:r w:rsidRPr="00A45103">
        <w:rPr>
          <w:sz w:val="22"/>
          <w:szCs w:val="22"/>
        </w:rPr>
        <w:t>RAN WG</w:t>
      </w:r>
      <w:r w:rsidR="008A2EB9">
        <w:rPr>
          <w:sz w:val="22"/>
          <w:szCs w:val="22"/>
        </w:rPr>
        <w:t>2</w:t>
      </w:r>
      <w:r w:rsidRPr="00A45103">
        <w:rPr>
          <w:sz w:val="22"/>
          <w:szCs w:val="22"/>
        </w:rPr>
        <w:t>#</w:t>
      </w:r>
      <w:r w:rsidR="00D07766">
        <w:rPr>
          <w:sz w:val="22"/>
          <w:szCs w:val="22"/>
        </w:rPr>
        <w:t>1</w:t>
      </w:r>
      <w:r w:rsidR="008A2EB9">
        <w:rPr>
          <w:sz w:val="22"/>
          <w:szCs w:val="22"/>
        </w:rPr>
        <w:t>11</w:t>
      </w:r>
      <w:r w:rsidR="00D07766">
        <w:rPr>
          <w:sz w:val="22"/>
          <w:szCs w:val="22"/>
        </w:rPr>
        <w:t>-e</w:t>
      </w:r>
      <w:r w:rsidRPr="00A45103">
        <w:rPr>
          <w:sz w:val="22"/>
          <w:szCs w:val="22"/>
        </w:rPr>
        <w:t xml:space="preserve">                                </w:t>
      </w:r>
      <w:r w:rsidRPr="00A45103">
        <w:rPr>
          <w:sz w:val="22"/>
          <w:szCs w:val="22"/>
        </w:rPr>
        <w:tab/>
      </w:r>
      <w:r w:rsidR="00755B4F" w:rsidRPr="00A45103">
        <w:rPr>
          <w:sz w:val="22"/>
          <w:szCs w:val="22"/>
        </w:rPr>
        <w:t>R</w:t>
      </w:r>
      <w:r w:rsidR="008A2EB9">
        <w:rPr>
          <w:sz w:val="22"/>
          <w:szCs w:val="22"/>
        </w:rPr>
        <w:t>2</w:t>
      </w:r>
      <w:r w:rsidR="00755B4F" w:rsidRPr="00A45103">
        <w:rPr>
          <w:sz w:val="22"/>
          <w:szCs w:val="22"/>
        </w:rPr>
        <w:t>-</w:t>
      </w:r>
      <w:r w:rsidR="00D07766">
        <w:rPr>
          <w:sz w:val="22"/>
          <w:szCs w:val="22"/>
        </w:rPr>
        <w:t>20</w:t>
      </w:r>
      <w:r w:rsidR="00A81965">
        <w:rPr>
          <w:sz w:val="22"/>
          <w:szCs w:val="22"/>
        </w:rPr>
        <w:t>07955</w:t>
      </w:r>
    </w:p>
    <w:p w14:paraId="6786BDAD" w14:textId="20FDB351" w:rsidR="005E1F4B" w:rsidRPr="00A45103" w:rsidRDefault="00D07766" w:rsidP="009026AE">
      <w:pPr>
        <w:pStyle w:val="3GPPHeader"/>
        <w:snapToGrid w:val="0"/>
        <w:rPr>
          <w:sz w:val="22"/>
          <w:szCs w:val="22"/>
        </w:rPr>
      </w:pPr>
      <w:r>
        <w:rPr>
          <w:sz w:val="22"/>
          <w:szCs w:val="22"/>
        </w:rPr>
        <w:t>e-Meeting</w:t>
      </w:r>
      <w:r w:rsidR="00755B4F" w:rsidRPr="00A45103">
        <w:rPr>
          <w:sz w:val="22"/>
          <w:szCs w:val="22"/>
        </w:rPr>
        <w:t xml:space="preserve">, </w:t>
      </w:r>
      <w:r>
        <w:rPr>
          <w:sz w:val="22"/>
          <w:szCs w:val="22"/>
        </w:rPr>
        <w:t>August 17</w:t>
      </w:r>
      <w:r w:rsidRPr="00D07766">
        <w:rPr>
          <w:sz w:val="22"/>
          <w:szCs w:val="22"/>
          <w:vertAlign w:val="superscript"/>
        </w:rPr>
        <w:t>th</w:t>
      </w:r>
      <w:r>
        <w:rPr>
          <w:sz w:val="22"/>
          <w:szCs w:val="22"/>
          <w:vertAlign w:val="superscript"/>
        </w:rPr>
        <w:t xml:space="preserve"> </w:t>
      </w:r>
      <w:r w:rsidRPr="00A45103">
        <w:rPr>
          <w:sz w:val="22"/>
          <w:szCs w:val="22"/>
        </w:rPr>
        <w:t>–</w:t>
      </w:r>
      <w:r>
        <w:rPr>
          <w:sz w:val="22"/>
          <w:szCs w:val="22"/>
        </w:rPr>
        <w:t xml:space="preserve"> 28</w:t>
      </w:r>
      <w:r w:rsidRPr="00D07766">
        <w:rPr>
          <w:sz w:val="22"/>
          <w:szCs w:val="22"/>
          <w:vertAlign w:val="superscript"/>
        </w:rPr>
        <w:t>th</w:t>
      </w:r>
      <w:r>
        <w:rPr>
          <w:sz w:val="22"/>
          <w:szCs w:val="22"/>
        </w:rPr>
        <w:t>, 2020</w:t>
      </w:r>
      <w:r w:rsidR="005E1F4B" w:rsidRPr="00A45103">
        <w:rPr>
          <w:sz w:val="22"/>
          <w:szCs w:val="22"/>
        </w:rPr>
        <w:tab/>
      </w:r>
    </w:p>
    <w:p w14:paraId="37278172" w14:textId="77777777" w:rsidR="005E1F4B" w:rsidRPr="00A45103" w:rsidRDefault="005E1F4B" w:rsidP="009026AE">
      <w:pPr>
        <w:pStyle w:val="3GPPHeader"/>
        <w:snapToGrid w:val="0"/>
        <w:rPr>
          <w:sz w:val="22"/>
          <w:szCs w:val="22"/>
        </w:rPr>
      </w:pPr>
      <w:r w:rsidRPr="00A45103">
        <w:rPr>
          <w:sz w:val="22"/>
          <w:szCs w:val="22"/>
        </w:rPr>
        <w:tab/>
      </w:r>
    </w:p>
    <w:p w14:paraId="019DC5F7" w14:textId="3ED6ECD3" w:rsidR="005E1F4B" w:rsidRPr="00A45103" w:rsidRDefault="005E1F4B" w:rsidP="009026AE">
      <w:pPr>
        <w:pStyle w:val="3GPPHeader"/>
        <w:snapToGrid w:val="0"/>
        <w:rPr>
          <w:sz w:val="22"/>
          <w:szCs w:val="22"/>
        </w:rPr>
      </w:pPr>
      <w:r w:rsidRPr="00A45103">
        <w:rPr>
          <w:sz w:val="22"/>
          <w:szCs w:val="22"/>
        </w:rPr>
        <w:t xml:space="preserve">Source: </w:t>
      </w:r>
      <w:r w:rsidRPr="00A45103">
        <w:rPr>
          <w:sz w:val="22"/>
          <w:szCs w:val="22"/>
        </w:rPr>
        <w:tab/>
      </w:r>
      <w:r w:rsidR="00140D47" w:rsidRPr="00A45103">
        <w:rPr>
          <w:sz w:val="22"/>
          <w:szCs w:val="22"/>
        </w:rPr>
        <w:t>Asia Pacific Telecom</w:t>
      </w:r>
    </w:p>
    <w:p w14:paraId="1CC03627" w14:textId="74698A5B" w:rsidR="005E1F4B" w:rsidRPr="00A45103" w:rsidRDefault="005E1F4B" w:rsidP="009026AE">
      <w:pPr>
        <w:pStyle w:val="3GPPHeader"/>
        <w:snapToGrid w:val="0"/>
        <w:rPr>
          <w:sz w:val="22"/>
          <w:szCs w:val="22"/>
        </w:rPr>
      </w:pPr>
      <w:r w:rsidRPr="00A45103">
        <w:rPr>
          <w:sz w:val="22"/>
          <w:szCs w:val="22"/>
        </w:rPr>
        <w:t xml:space="preserve">Title: </w:t>
      </w:r>
      <w:r w:rsidRPr="00A45103">
        <w:rPr>
          <w:sz w:val="22"/>
          <w:szCs w:val="22"/>
        </w:rPr>
        <w:tab/>
      </w:r>
      <w:r w:rsidR="00961C67" w:rsidRPr="00A45103">
        <w:rPr>
          <w:sz w:val="22"/>
          <w:szCs w:val="22"/>
        </w:rPr>
        <w:t>Discussion</w:t>
      </w:r>
      <w:r w:rsidR="008D44F9" w:rsidRPr="00A45103">
        <w:rPr>
          <w:sz w:val="22"/>
          <w:szCs w:val="22"/>
        </w:rPr>
        <w:t xml:space="preserve"> on </w:t>
      </w:r>
      <w:r w:rsidR="008A2EB9">
        <w:rPr>
          <w:sz w:val="22"/>
          <w:szCs w:val="22"/>
        </w:rPr>
        <w:t>d</w:t>
      </w:r>
      <w:r w:rsidR="008A2EB9" w:rsidRPr="008A2EB9">
        <w:rPr>
          <w:sz w:val="22"/>
          <w:szCs w:val="22"/>
        </w:rPr>
        <w:t xml:space="preserve">elay </w:t>
      </w:r>
      <w:r w:rsidR="008A2EB9">
        <w:rPr>
          <w:sz w:val="22"/>
          <w:szCs w:val="22"/>
        </w:rPr>
        <w:t>d</w:t>
      </w:r>
      <w:r w:rsidR="008A2EB9" w:rsidRPr="008A2EB9">
        <w:rPr>
          <w:sz w:val="22"/>
          <w:szCs w:val="22"/>
        </w:rPr>
        <w:t xml:space="preserve">ifference on </w:t>
      </w:r>
      <w:r w:rsidR="008A2EB9">
        <w:rPr>
          <w:sz w:val="22"/>
          <w:szCs w:val="22"/>
        </w:rPr>
        <w:t>m</w:t>
      </w:r>
      <w:r w:rsidR="008A2EB9" w:rsidRPr="008A2EB9">
        <w:rPr>
          <w:sz w:val="22"/>
          <w:szCs w:val="22"/>
        </w:rPr>
        <w:t>easurements</w:t>
      </w:r>
      <w:r w:rsidR="008A2EB9">
        <w:rPr>
          <w:sz w:val="22"/>
          <w:szCs w:val="22"/>
        </w:rPr>
        <w:t xml:space="preserve"> for </w:t>
      </w:r>
      <w:r w:rsidR="008D44F9" w:rsidRPr="00A45103">
        <w:rPr>
          <w:sz w:val="22"/>
          <w:szCs w:val="22"/>
        </w:rPr>
        <w:t>NTN</w:t>
      </w:r>
    </w:p>
    <w:p w14:paraId="14EA2A19" w14:textId="3828E605" w:rsidR="005E1F4B" w:rsidRPr="00A45103" w:rsidRDefault="005E1F4B" w:rsidP="009026AE">
      <w:pPr>
        <w:pStyle w:val="3GPPHeader"/>
        <w:snapToGrid w:val="0"/>
        <w:rPr>
          <w:sz w:val="22"/>
          <w:szCs w:val="22"/>
        </w:rPr>
      </w:pPr>
      <w:r w:rsidRPr="00A45103">
        <w:rPr>
          <w:sz w:val="22"/>
          <w:szCs w:val="22"/>
        </w:rPr>
        <w:t>Agenda item:</w:t>
      </w:r>
      <w:r w:rsidRPr="00A45103">
        <w:rPr>
          <w:sz w:val="22"/>
          <w:szCs w:val="22"/>
        </w:rPr>
        <w:tab/>
      </w:r>
      <w:r w:rsidR="008A2EB9" w:rsidRPr="008A2EB9">
        <w:rPr>
          <w:sz w:val="22"/>
          <w:szCs w:val="22"/>
        </w:rPr>
        <w:t>8.10.3.2</w:t>
      </w:r>
    </w:p>
    <w:p w14:paraId="765DBB56" w14:textId="77777777" w:rsidR="005E1F4B" w:rsidRPr="00A45103" w:rsidRDefault="005E1F4B" w:rsidP="009026AE">
      <w:pPr>
        <w:pStyle w:val="3GPPHeader"/>
        <w:snapToGrid w:val="0"/>
        <w:rPr>
          <w:sz w:val="22"/>
          <w:szCs w:val="22"/>
        </w:rPr>
      </w:pPr>
      <w:r w:rsidRPr="00A45103">
        <w:rPr>
          <w:sz w:val="22"/>
          <w:szCs w:val="22"/>
        </w:rPr>
        <w:t>Document for:</w:t>
      </w:r>
      <w:r w:rsidRPr="00A45103">
        <w:rPr>
          <w:sz w:val="22"/>
          <w:szCs w:val="22"/>
        </w:rPr>
        <w:tab/>
        <w:t>Discussion and Decision</w:t>
      </w:r>
    </w:p>
    <w:p w14:paraId="04E8C7EC" w14:textId="77777777" w:rsidR="005E1F4B" w:rsidRPr="00CF2030" w:rsidRDefault="005E1F4B" w:rsidP="00644835">
      <w:pPr>
        <w:pStyle w:val="Heading1"/>
        <w:snapToGrid w:val="0"/>
        <w:jc w:val="both"/>
      </w:pPr>
      <w:r>
        <w:t>Introduction</w:t>
      </w:r>
    </w:p>
    <w:p w14:paraId="714A535E" w14:textId="4E0344AD" w:rsidR="005E1F4B" w:rsidRPr="00644835" w:rsidRDefault="00F74FBB" w:rsidP="00582423">
      <w:pPr>
        <w:snapToGrid w:val="0"/>
        <w:spacing w:after="240"/>
        <w:rPr>
          <w:szCs w:val="22"/>
        </w:rPr>
      </w:pPr>
      <w:r>
        <w:rPr>
          <w:szCs w:val="22"/>
        </w:rPr>
        <w:t>In RAN#</w:t>
      </w:r>
      <w:r w:rsidR="009C7562">
        <w:rPr>
          <w:szCs w:val="22"/>
        </w:rPr>
        <w:t>8</w:t>
      </w:r>
      <w:r>
        <w:rPr>
          <w:szCs w:val="22"/>
        </w:rPr>
        <w:t>8</w:t>
      </w:r>
      <w:r w:rsidR="009C7562">
        <w:rPr>
          <w:szCs w:val="22"/>
        </w:rPr>
        <w:t>-e</w:t>
      </w:r>
      <w:r>
        <w:rPr>
          <w:szCs w:val="22"/>
        </w:rPr>
        <w:t>,</w:t>
      </w:r>
      <w:r w:rsidR="009C7562">
        <w:rPr>
          <w:szCs w:val="22"/>
        </w:rPr>
        <w:t xml:space="preserve"> RP-201256 was approved as</w:t>
      </w:r>
      <w:r w:rsidR="009C7562" w:rsidRPr="009C7562">
        <w:t xml:space="preserve"> </w:t>
      </w:r>
      <w:r w:rsidR="009C7562" w:rsidRPr="009C7562">
        <w:rPr>
          <w:szCs w:val="22"/>
        </w:rPr>
        <w:t>Revised WID: Solutions for NR to support non-terrestrial networks</w:t>
      </w:r>
      <w:r w:rsidR="009C7562">
        <w:rPr>
          <w:szCs w:val="22"/>
        </w:rPr>
        <w:t xml:space="preserve"> </w:t>
      </w:r>
      <w:r w:rsidR="00D724CE">
        <w:rPr>
          <w:szCs w:val="22"/>
        </w:rPr>
        <w:t>for Rel-17</w:t>
      </w:r>
      <w:r w:rsidR="009C7562">
        <w:rPr>
          <w:szCs w:val="22"/>
        </w:rPr>
        <w:t>. T</w:t>
      </w:r>
      <w:r w:rsidR="009C7562" w:rsidRPr="009C7562">
        <w:rPr>
          <w:szCs w:val="22"/>
        </w:rPr>
        <w:t xml:space="preserve">he following control plane procedures enhancements </w:t>
      </w:r>
      <w:r w:rsidR="009C7562">
        <w:rPr>
          <w:szCs w:val="22"/>
        </w:rPr>
        <w:t>w</w:t>
      </w:r>
      <w:r w:rsidR="00E728F3">
        <w:rPr>
          <w:szCs w:val="22"/>
        </w:rPr>
        <w:t>ere</w:t>
      </w:r>
      <w:r w:rsidR="009C7562">
        <w:rPr>
          <w:szCs w:val="22"/>
        </w:rPr>
        <w:t xml:space="preserve"> highlighted</w:t>
      </w:r>
      <w:r w:rsidR="00D724CE">
        <w:rPr>
          <w:szCs w:val="22"/>
        </w:rPr>
        <w:t xml:space="preserve"> in the document</w:t>
      </w:r>
      <w:r w:rsidR="009C7562">
        <w:rPr>
          <w:szCs w:val="22"/>
        </w:rPr>
        <w:t>.</w:t>
      </w:r>
    </w:p>
    <w:tbl>
      <w:tblPr>
        <w:tblStyle w:val="TableGrid"/>
        <w:tblW w:w="0" w:type="auto"/>
        <w:tblLook w:val="04A0" w:firstRow="1" w:lastRow="0" w:firstColumn="1" w:lastColumn="0" w:noHBand="0" w:noVBand="1"/>
      </w:tblPr>
      <w:tblGrid>
        <w:gridCol w:w="9350"/>
      </w:tblGrid>
      <w:tr w:rsidR="005E1F4B" w:rsidRPr="00644835" w14:paraId="170F1A72" w14:textId="77777777" w:rsidTr="008F0C94">
        <w:tc>
          <w:tcPr>
            <w:tcW w:w="9350" w:type="dxa"/>
            <w:shd w:val="clear" w:color="auto" w:fill="auto"/>
          </w:tcPr>
          <w:p w14:paraId="73F1860D" w14:textId="6B645AE6" w:rsidR="00582423" w:rsidRPr="001E2038" w:rsidRDefault="009C7562" w:rsidP="00582423">
            <w:pPr>
              <w:spacing w:before="120"/>
              <w:rPr>
                <w:b/>
              </w:rPr>
            </w:pPr>
            <w:r w:rsidRPr="009C7562">
              <w:rPr>
                <w:b/>
              </w:rPr>
              <w:t>3GPP TSG RAN meeting #88</w:t>
            </w:r>
            <w:r>
              <w:rPr>
                <w:b/>
              </w:rPr>
              <w:t>-</w:t>
            </w:r>
            <w:r w:rsidRPr="009C7562">
              <w:rPr>
                <w:b/>
              </w:rPr>
              <w:t>e</w:t>
            </w:r>
            <w:r>
              <w:rPr>
                <w:b/>
              </w:rPr>
              <w:t xml:space="preserve">, </w:t>
            </w:r>
            <w:r w:rsidRPr="009C7562">
              <w:rPr>
                <w:b/>
              </w:rPr>
              <w:t>RP-201256</w:t>
            </w:r>
            <w:r>
              <w:rPr>
                <w:b/>
              </w:rPr>
              <w:t xml:space="preserve"> </w:t>
            </w:r>
          </w:p>
          <w:p w14:paraId="0FEA4175" w14:textId="77777777" w:rsidR="009C7562" w:rsidRPr="009C7562" w:rsidRDefault="009C7562" w:rsidP="009C7562">
            <w:pPr>
              <w:rPr>
                <w:bCs/>
              </w:rPr>
            </w:pPr>
            <w:r w:rsidRPr="009C7562">
              <w:rPr>
                <w:bCs/>
              </w:rPr>
              <w:t>The following control plane procedures enhancements should be specified (see TR 38.821)</w:t>
            </w:r>
          </w:p>
          <w:p w14:paraId="28DDDEAD" w14:textId="233FC527" w:rsidR="009C7562" w:rsidRPr="009C7562" w:rsidRDefault="009C7562" w:rsidP="009C7562">
            <w:pPr>
              <w:pStyle w:val="ListParagraph"/>
              <w:numPr>
                <w:ilvl w:val="0"/>
                <w:numId w:val="30"/>
              </w:numPr>
              <w:rPr>
                <w:bCs/>
              </w:rPr>
            </w:pPr>
            <w:r w:rsidRPr="009C7562">
              <w:rPr>
                <w:bCs/>
              </w:rPr>
              <w:t xml:space="preserve">Idle mode: </w:t>
            </w:r>
          </w:p>
          <w:p w14:paraId="62B45D06" w14:textId="7290035D" w:rsidR="009C7562" w:rsidRPr="009C7562" w:rsidRDefault="009C7562" w:rsidP="009C7562">
            <w:pPr>
              <w:pStyle w:val="ListParagraph"/>
              <w:numPr>
                <w:ilvl w:val="1"/>
                <w:numId w:val="30"/>
              </w:numPr>
              <w:rPr>
                <w:bCs/>
              </w:rPr>
            </w:pPr>
            <w:r w:rsidRPr="009C7562">
              <w:rPr>
                <w:bCs/>
              </w:rPr>
              <w:t>Definition of additional assistance information for cell selection/reselection (e.g. using UE location information, satellite Ephemeris information)</w:t>
            </w:r>
          </w:p>
          <w:p w14:paraId="3C61A8A4" w14:textId="736344D0" w:rsidR="009C7562" w:rsidRPr="009C7562" w:rsidRDefault="009C7562" w:rsidP="009C7562">
            <w:pPr>
              <w:pStyle w:val="ListParagraph"/>
              <w:numPr>
                <w:ilvl w:val="1"/>
                <w:numId w:val="30"/>
              </w:numPr>
              <w:rPr>
                <w:bCs/>
              </w:rPr>
            </w:pPr>
            <w:r w:rsidRPr="009C7562">
              <w:rPr>
                <w:bCs/>
              </w:rPr>
              <w:t>Definition of NTN (satellite/HAPS) cell specific information in SIB</w:t>
            </w:r>
          </w:p>
          <w:p w14:paraId="098F5FEB" w14:textId="252CA5DA" w:rsidR="009C7562" w:rsidRPr="009C7562" w:rsidRDefault="009C7562" w:rsidP="009C7562">
            <w:pPr>
              <w:pStyle w:val="ListParagraph"/>
              <w:numPr>
                <w:ilvl w:val="0"/>
                <w:numId w:val="30"/>
              </w:numPr>
              <w:rPr>
                <w:bCs/>
              </w:rPr>
            </w:pPr>
            <w:r w:rsidRPr="009C7562">
              <w:rPr>
                <w:bCs/>
              </w:rPr>
              <w:t>Connected mode</w:t>
            </w:r>
          </w:p>
          <w:p w14:paraId="5C5F60A8" w14:textId="7CBE2E3E" w:rsidR="009C7562" w:rsidRPr="009C7562" w:rsidRDefault="009C7562" w:rsidP="009C7562">
            <w:pPr>
              <w:pStyle w:val="ListParagraph"/>
              <w:numPr>
                <w:ilvl w:val="1"/>
                <w:numId w:val="30"/>
              </w:numPr>
              <w:rPr>
                <w:bCs/>
              </w:rPr>
            </w:pPr>
            <w:r w:rsidRPr="009C7562">
              <w:rPr>
                <w:bCs/>
              </w:rPr>
              <w:t xml:space="preserve">Enhancement necessary to </w:t>
            </w:r>
            <w:proofErr w:type="gramStart"/>
            <w:r w:rsidRPr="009C7562">
              <w:rPr>
                <w:bCs/>
              </w:rPr>
              <w:t>take into account</w:t>
            </w:r>
            <w:proofErr w:type="gramEnd"/>
            <w:r w:rsidRPr="009C7562">
              <w:rPr>
                <w:bCs/>
              </w:rPr>
              <w:t xml:space="preserve"> location information (UE &amp; Satellite/HAPS) and/or ephemeris in determining when to perform hand-over, in order to have a high degree of hand-over control for hand-over robustness and coverage management.</w:t>
            </w:r>
          </w:p>
          <w:p w14:paraId="2689FF2D" w14:textId="6907B976" w:rsidR="00992CAF" w:rsidRPr="009C7562" w:rsidRDefault="009C7562" w:rsidP="009C7562">
            <w:pPr>
              <w:pStyle w:val="ListParagraph"/>
              <w:numPr>
                <w:ilvl w:val="1"/>
                <w:numId w:val="30"/>
              </w:numPr>
              <w:rPr>
                <w:bCs/>
              </w:rPr>
            </w:pPr>
            <w:bookmarkStart w:id="0" w:name="_Hlk47688849"/>
            <w:r w:rsidRPr="00D724CE">
              <w:rPr>
                <w:b/>
              </w:rPr>
              <w:t xml:space="preserve">Enhancement to existing measurement configurations </w:t>
            </w:r>
            <w:bookmarkStart w:id="1" w:name="_Hlk47691215"/>
            <w:r w:rsidRPr="00D724CE">
              <w:rPr>
                <w:b/>
              </w:rPr>
              <w:t>to address absolute propagation delay difference between satellites</w:t>
            </w:r>
            <w:bookmarkEnd w:id="1"/>
            <w:r w:rsidRPr="009C7562">
              <w:rPr>
                <w:bCs/>
              </w:rPr>
              <w:t xml:space="preserve"> </w:t>
            </w:r>
            <w:bookmarkEnd w:id="0"/>
            <w:r w:rsidRPr="009C7562">
              <w:rPr>
                <w:bCs/>
              </w:rPr>
              <w:t>(e.g. SMTC measurement gap adaptation to the SSB/CSI-RS measurement window) [RAN2/4].</w:t>
            </w:r>
          </w:p>
        </w:tc>
      </w:tr>
    </w:tbl>
    <w:p w14:paraId="5D89D446" w14:textId="6255BD86" w:rsidR="00E728F3" w:rsidRPr="00B10D68" w:rsidRDefault="00D724CE" w:rsidP="00D724CE">
      <w:pPr>
        <w:spacing w:before="240"/>
      </w:pPr>
      <w:r>
        <w:t xml:space="preserve">In this t-doc, we address the issue </w:t>
      </w:r>
      <w:r w:rsidR="00792907">
        <w:t>on</w:t>
      </w:r>
      <w:r>
        <w:t xml:space="preserve"> </w:t>
      </w:r>
      <w:r w:rsidRPr="00D724CE">
        <w:t>SMTC measurement gap adaptation to the SSB/CSI-RS measurement window</w:t>
      </w:r>
      <w:r>
        <w:t>.</w:t>
      </w:r>
    </w:p>
    <w:p w14:paraId="491C27BF" w14:textId="4C49A04F" w:rsidR="00EC2855" w:rsidRDefault="00EC2855" w:rsidP="00EC2855">
      <w:pPr>
        <w:pStyle w:val="Heading1"/>
      </w:pPr>
      <w:r>
        <w:t>Discussion</w:t>
      </w:r>
    </w:p>
    <w:p w14:paraId="73A9D319" w14:textId="46556D7A" w:rsidR="00D724CE" w:rsidRDefault="00D724CE" w:rsidP="00D724CE">
      <w:pPr>
        <w:pStyle w:val="Heading2"/>
        <w:rPr>
          <w:lang w:val="en-US" w:eastAsia="zh-TW"/>
        </w:rPr>
      </w:pPr>
      <w:r w:rsidRPr="00D724CE">
        <w:rPr>
          <w:lang w:val="en-US" w:eastAsia="zh-TW"/>
        </w:rPr>
        <w:t>Propagation delay difference on measurements</w:t>
      </w:r>
    </w:p>
    <w:p w14:paraId="5655AF3F" w14:textId="4EB3E782" w:rsidR="0072465B" w:rsidRPr="0072465B" w:rsidRDefault="0072465B" w:rsidP="0072465B">
      <w:pPr>
        <w:spacing w:after="240"/>
        <w:rPr>
          <w:lang w:val="en-US" w:eastAsia="zh-TW"/>
        </w:rPr>
      </w:pPr>
      <w:r>
        <w:rPr>
          <w:lang w:val="en-US" w:eastAsia="zh-TW"/>
        </w:rPr>
        <w:t>For the SMTC issue, more details can be found in the TR 38.821, shown below.</w:t>
      </w:r>
    </w:p>
    <w:tbl>
      <w:tblPr>
        <w:tblStyle w:val="TableGrid"/>
        <w:tblW w:w="0" w:type="auto"/>
        <w:tblLook w:val="04A0" w:firstRow="1" w:lastRow="0" w:firstColumn="1" w:lastColumn="0" w:noHBand="0" w:noVBand="1"/>
      </w:tblPr>
      <w:tblGrid>
        <w:gridCol w:w="9350"/>
      </w:tblGrid>
      <w:tr w:rsidR="0072465B" w14:paraId="2D0B175C" w14:textId="77777777" w:rsidTr="0072465B">
        <w:tc>
          <w:tcPr>
            <w:tcW w:w="9350" w:type="dxa"/>
          </w:tcPr>
          <w:p w14:paraId="26DC0310" w14:textId="702AF2B7" w:rsidR="0072465B" w:rsidRPr="0072465B" w:rsidRDefault="0072465B" w:rsidP="0072465B">
            <w:pPr>
              <w:spacing w:before="120"/>
              <w:rPr>
                <w:b/>
                <w:bCs/>
              </w:rPr>
            </w:pPr>
            <w:r w:rsidRPr="0072465B">
              <w:rPr>
                <w:b/>
                <w:bCs/>
              </w:rPr>
              <w:t>3GPP TR 38.821 V16.0.0 (2019-12)</w:t>
            </w:r>
          </w:p>
          <w:p w14:paraId="43B633E9" w14:textId="399511E3" w:rsidR="0072465B" w:rsidRDefault="0072465B" w:rsidP="0072465B">
            <w:r>
              <w:t>7.3.2.1.7 Impact of Propagation Delay Difference on Measurements</w:t>
            </w:r>
          </w:p>
          <w:p w14:paraId="7BDF763C" w14:textId="5359C4F0" w:rsidR="0072465B" w:rsidRDefault="0072465B" w:rsidP="0072465B">
            <w:r>
              <w:t>Consider a UE served by a LEO satellite S1, however also within coverage of an incoming LEO satellite S2. The UE should perform measurements of the neighbouring cells originating from S2 for mobility purposes based on the measurement configuration provided to the UE, however the propagation delay difference from the UE to satellite S1 and the UE to satellite S2 may vary significantly.</w:t>
            </w:r>
          </w:p>
          <w:p w14:paraId="28C01A02" w14:textId="54220E8D" w:rsidR="0072465B" w:rsidRDefault="0072465B" w:rsidP="0072465B">
            <w:r>
              <w:t>If the SMTC measurement gap configuration does not consider the propagation delay difference, the UE may miss the SSB/CSI-RS measurement window and will thus be unable to perform measurements on the configured reference signals. This challenge is captured for both GEO and LEO scenarios, and is to be addressed with priority for LEO scenarios.</w:t>
            </w:r>
          </w:p>
          <w:p w14:paraId="6E722BE6" w14:textId="6CB29065" w:rsidR="0072465B" w:rsidRDefault="0072465B" w:rsidP="0072465B">
            <w:r>
              <w:t>FFS: The scale of this problem in GEO given the stationary nature of GEO satellites</w:t>
            </w:r>
          </w:p>
        </w:tc>
      </w:tr>
    </w:tbl>
    <w:p w14:paraId="3AEDD492" w14:textId="7B17F383" w:rsidR="00EA6757" w:rsidRDefault="00EA6757" w:rsidP="00EA6757">
      <w:r>
        <w:lastRenderedPageBreak/>
        <w:t>This issue may happen for both intra-gNB mobility and inter-gNB mobility.</w:t>
      </w:r>
    </w:p>
    <w:p w14:paraId="594C165E" w14:textId="6B5B2212" w:rsidR="0072465B" w:rsidRDefault="00EA6757" w:rsidP="0072465B">
      <w:pPr>
        <w:spacing w:after="240"/>
      </w:pPr>
      <w:r>
        <w:t>For intra-gNB mobility</w:t>
      </w:r>
      <w:r w:rsidR="0072465B" w:rsidRPr="0072465B">
        <w:t xml:space="preserve">, a serving satellite between a gNB and a UE may change from time to time, but the gNB and the UE may stay the same. This scenario is shown in </w:t>
      </w:r>
      <w:r>
        <w:fldChar w:fldCharType="begin"/>
      </w:r>
      <w:r>
        <w:instrText xml:space="preserve"> REF _Ref47690049 \h </w:instrText>
      </w:r>
      <w:r>
        <w:fldChar w:fldCharType="separate"/>
      </w:r>
      <w:r>
        <w:t xml:space="preserve">Figure </w:t>
      </w:r>
      <w:r>
        <w:rPr>
          <w:noProof/>
        </w:rPr>
        <w:t>1</w:t>
      </w:r>
      <w:r>
        <w:fldChar w:fldCharType="end"/>
      </w:r>
      <w:r>
        <w:t xml:space="preserve"> </w:t>
      </w:r>
      <w:r w:rsidR="0072465B" w:rsidRPr="0072465B">
        <w:t xml:space="preserve">where satellite 1 will handover to satellite 2 with the same gNB and UE. In this case, the gNB may not have propagation delay information between the UE and the target satellite, thus proper smtc1 configuration and correct handover decision may be an issue.  </w:t>
      </w:r>
    </w:p>
    <w:p w14:paraId="33E1D68C" w14:textId="77777777" w:rsidR="0072465B" w:rsidRDefault="0072465B" w:rsidP="0072465B">
      <w:pPr>
        <w:spacing w:before="120"/>
        <w:jc w:val="center"/>
      </w:pPr>
      <w:r>
        <w:rPr>
          <w:noProof/>
        </w:rPr>
        <w:drawing>
          <wp:inline distT="0" distB="0" distL="0" distR="0" wp14:anchorId="1D135062" wp14:editId="08FF81EB">
            <wp:extent cx="5943600" cy="2299970"/>
            <wp:effectExtent l="0" t="0" r="0" b="5080"/>
            <wp:docPr id="4" name="Picture 4"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43600" cy="2299970"/>
                    </a:xfrm>
                    <a:prstGeom prst="rect">
                      <a:avLst/>
                    </a:prstGeom>
                  </pic:spPr>
                </pic:pic>
              </a:graphicData>
            </a:graphic>
          </wp:inline>
        </w:drawing>
      </w:r>
    </w:p>
    <w:p w14:paraId="79F091B9" w14:textId="74BF8EFE" w:rsidR="0072465B" w:rsidRDefault="0072465B" w:rsidP="0072465B">
      <w:pPr>
        <w:pStyle w:val="Caption"/>
      </w:pPr>
      <w:bookmarkStart w:id="2" w:name="_Ref47690049"/>
      <w:r>
        <w:t xml:space="preserve">Figure </w:t>
      </w:r>
      <w:r>
        <w:fldChar w:fldCharType="begin"/>
      </w:r>
      <w:r>
        <w:instrText xml:space="preserve"> SEQ Figure \* ARABIC </w:instrText>
      </w:r>
      <w:r>
        <w:fldChar w:fldCharType="separate"/>
      </w:r>
      <w:r w:rsidR="00EA6757">
        <w:rPr>
          <w:noProof/>
        </w:rPr>
        <w:t>1</w:t>
      </w:r>
      <w:r>
        <w:fldChar w:fldCharType="end"/>
      </w:r>
      <w:bookmarkEnd w:id="2"/>
      <w:r>
        <w:t>: Intra-gNB mobility with satellite handover</w:t>
      </w:r>
    </w:p>
    <w:p w14:paraId="37EFADF9" w14:textId="6C3F900C" w:rsidR="00EA6757" w:rsidRDefault="00EA6757" w:rsidP="00EA6757">
      <w:pPr>
        <w:spacing w:after="240"/>
      </w:pPr>
      <w:r>
        <w:t>For inter-gNB mobility</w:t>
      </w:r>
      <w:r w:rsidR="004831BB">
        <w:rPr>
          <w:rFonts w:hint="eastAsia"/>
          <w:lang w:eastAsia="zh-TW"/>
        </w:rPr>
        <w:t xml:space="preserve"> </w:t>
      </w:r>
      <w:r w:rsidR="004831BB">
        <w:rPr>
          <w:lang w:val="en-US"/>
        </w:rPr>
        <w:t xml:space="preserve">shown </w:t>
      </w:r>
      <w:r w:rsidR="004831BB" w:rsidRPr="004831BB">
        <w:rPr>
          <w:lang w:val="en-US"/>
        </w:rPr>
        <w:t xml:space="preserve">in </w:t>
      </w:r>
      <w:r w:rsidR="004831BB" w:rsidRPr="004831BB">
        <w:rPr>
          <w:lang w:val="en-US"/>
        </w:rPr>
        <w:fldChar w:fldCharType="begin"/>
      </w:r>
      <w:r w:rsidR="004831BB" w:rsidRPr="004831BB">
        <w:rPr>
          <w:lang w:val="en-US"/>
        </w:rPr>
        <w:instrText xml:space="preserve"> REF _Ref46396263 \h </w:instrText>
      </w:r>
      <w:r w:rsidR="004831BB" w:rsidRPr="004831BB">
        <w:rPr>
          <w:lang w:val="en-US"/>
        </w:rPr>
      </w:r>
      <w:r w:rsidR="004831BB" w:rsidRPr="004831BB">
        <w:rPr>
          <w:lang w:val="en-US"/>
        </w:rPr>
        <w:instrText xml:space="preserve"> \* MERGEFORMAT </w:instrText>
      </w:r>
      <w:r w:rsidR="004831BB" w:rsidRPr="004831BB">
        <w:rPr>
          <w:lang w:val="en-US"/>
        </w:rPr>
        <w:fldChar w:fldCharType="separate"/>
      </w:r>
      <w:r w:rsidR="004831BB" w:rsidRPr="004831BB">
        <w:t xml:space="preserve">Figure </w:t>
      </w:r>
      <w:r w:rsidR="004831BB" w:rsidRPr="004831BB">
        <w:rPr>
          <w:noProof/>
        </w:rPr>
        <w:t>2</w:t>
      </w:r>
      <w:r w:rsidR="004831BB" w:rsidRPr="004831BB">
        <w:rPr>
          <w:lang w:val="en-US"/>
        </w:rPr>
        <w:fldChar w:fldCharType="end"/>
      </w:r>
      <w:r>
        <w:t xml:space="preserve">, since the target gNB may not have propagation delay information between the UE and the target satellite, proper smtc configuration and correct handover decision may be an issue.  </w:t>
      </w:r>
    </w:p>
    <w:p w14:paraId="1E605DD6" w14:textId="61C6C5E3" w:rsidR="00EA6757" w:rsidRPr="00EA6757" w:rsidRDefault="00EA6757" w:rsidP="00EA6757">
      <w:r w:rsidRPr="00EA6757">
        <w:rPr>
          <w:noProof/>
        </w:rPr>
        <w:drawing>
          <wp:inline distT="0" distB="0" distL="0" distR="0" wp14:anchorId="4A253C3A" wp14:editId="11844F32">
            <wp:extent cx="5943600" cy="2299970"/>
            <wp:effectExtent l="0" t="0" r="0" b="5080"/>
            <wp:docPr id="17" name="Picture 17"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43600" cy="2299970"/>
                    </a:xfrm>
                    <a:prstGeom prst="rect">
                      <a:avLst/>
                    </a:prstGeom>
                  </pic:spPr>
                </pic:pic>
              </a:graphicData>
            </a:graphic>
          </wp:inline>
        </w:drawing>
      </w:r>
    </w:p>
    <w:p w14:paraId="71FCA49E" w14:textId="31AE1D2E" w:rsidR="00EA6757" w:rsidRPr="00EA6757" w:rsidRDefault="00EA6757" w:rsidP="00EA6757">
      <w:pPr>
        <w:spacing w:after="240"/>
        <w:jc w:val="center"/>
        <w:rPr>
          <w:b/>
          <w:bCs/>
        </w:rPr>
      </w:pPr>
      <w:bookmarkStart w:id="3" w:name="_Ref46396263"/>
      <w:r w:rsidRPr="00EA6757">
        <w:rPr>
          <w:b/>
          <w:bCs/>
        </w:rPr>
        <w:t xml:space="preserve">Figure </w:t>
      </w:r>
      <w:r w:rsidRPr="00EA6757">
        <w:rPr>
          <w:b/>
          <w:bCs/>
        </w:rPr>
        <w:fldChar w:fldCharType="begin"/>
      </w:r>
      <w:r w:rsidRPr="00EA6757">
        <w:rPr>
          <w:b/>
          <w:bCs/>
        </w:rPr>
        <w:instrText xml:space="preserve"> SEQ Figure \* ARABIC </w:instrText>
      </w:r>
      <w:r w:rsidRPr="00EA6757">
        <w:rPr>
          <w:b/>
          <w:bCs/>
        </w:rPr>
        <w:fldChar w:fldCharType="separate"/>
      </w:r>
      <w:r w:rsidR="006C78EA">
        <w:rPr>
          <w:b/>
          <w:bCs/>
          <w:noProof/>
        </w:rPr>
        <w:t>2</w:t>
      </w:r>
      <w:r w:rsidRPr="00EA6757">
        <w:fldChar w:fldCharType="end"/>
      </w:r>
      <w:bookmarkEnd w:id="3"/>
      <w:r w:rsidRPr="00EA6757">
        <w:rPr>
          <w:b/>
          <w:bCs/>
        </w:rPr>
        <w:t>: Inter-gNB mobility with satellite handover</w:t>
      </w:r>
    </w:p>
    <w:p w14:paraId="5E1B3FAC" w14:textId="5352F6D7" w:rsidR="00EA6757" w:rsidRDefault="00EA6757" w:rsidP="006C78EA">
      <w:r>
        <w:t>When the propagation delay between the UE and the target satellite is unknown, following Rel-16 NR specifications, NW may try to configure the maximum smtc window duration</w:t>
      </w:r>
      <w:r w:rsidR="004831BB">
        <w:t xml:space="preserve"> of 5</w:t>
      </w:r>
      <w:r>
        <w:t xml:space="preserve"> subframes</w:t>
      </w:r>
      <w:r w:rsidR="004831BB">
        <w:t xml:space="preserve">, e.g., </w:t>
      </w:r>
      <w:r w:rsidR="006C78EA">
        <w:t>5 milliseconds for SCS 15kHz, however, it may still fail with a high chance due to large propagation delay diff</w:t>
      </w:r>
      <w:r w:rsidR="00E728F3">
        <w:t>ere</w:t>
      </w:r>
      <w:r w:rsidR="006C78EA">
        <w:t>nce</w:t>
      </w:r>
      <w:r w:rsidR="004831BB">
        <w:t xml:space="preserve"> between satellites</w:t>
      </w:r>
      <w:r w:rsidR="006C78EA">
        <w:t xml:space="preserve">. </w:t>
      </w:r>
      <w:r>
        <w:t xml:space="preserve">  </w:t>
      </w:r>
    </w:p>
    <w:p w14:paraId="636C47FA" w14:textId="5E0E288B" w:rsidR="0072465B" w:rsidRDefault="0072465B" w:rsidP="0072465B">
      <w:pPr>
        <w:spacing w:after="240"/>
      </w:pPr>
      <w:r>
        <w:fldChar w:fldCharType="begin"/>
      </w:r>
      <w:r>
        <w:instrText xml:space="preserve"> REF _Ref46928855 \h </w:instrText>
      </w:r>
      <w:r>
        <w:fldChar w:fldCharType="separate"/>
      </w:r>
      <w:r w:rsidR="006C78EA">
        <w:t xml:space="preserve">Figure </w:t>
      </w:r>
      <w:r w:rsidR="006C78EA">
        <w:rPr>
          <w:noProof/>
        </w:rPr>
        <w:t>3</w:t>
      </w:r>
      <w:r>
        <w:fldChar w:fldCharType="end"/>
      </w:r>
      <w:r w:rsidRPr="0072465B">
        <w:t xml:space="preserve"> gives an example</w:t>
      </w:r>
      <w:r w:rsidR="006C78EA">
        <w:t xml:space="preserve"> when NW configures the maximum smtc duration </w:t>
      </w:r>
      <w:r w:rsidR="00A81965">
        <w:t>of</w:t>
      </w:r>
      <w:r w:rsidR="006C78EA">
        <w:t xml:space="preserve"> 5 subframes. A</w:t>
      </w:r>
      <w:r w:rsidRPr="0072465B">
        <w:t>ssum</w:t>
      </w:r>
      <w:r w:rsidR="006C78EA">
        <w:t>e</w:t>
      </w:r>
      <w:r w:rsidRPr="0072465B">
        <w:t xml:space="preserve"> LEO satellite S1 connects a serving gNB1 and LEO satellite S2 connects to a target gNB2. If delay difference between S1 and S2</w:t>
      </w:r>
      <w:r w:rsidR="006C78EA">
        <w:t xml:space="preserve"> is small</w:t>
      </w:r>
      <w:r w:rsidRPr="0072465B">
        <w:t xml:space="preserve">, </w:t>
      </w:r>
      <w:r w:rsidR="006C78EA">
        <w:t xml:space="preserve">this configuration provides </w:t>
      </w:r>
      <w:r w:rsidRPr="0072465B">
        <w:t>a proper smtc window for UE to measure SSB</w:t>
      </w:r>
      <w:r w:rsidR="006C78EA">
        <w:t>s</w:t>
      </w:r>
      <w:r w:rsidRPr="0072465B">
        <w:t xml:space="preserve"> from gNB2, however, due to the </w:t>
      </w:r>
      <w:r w:rsidR="006C78EA">
        <w:t xml:space="preserve">large </w:t>
      </w:r>
      <w:r w:rsidRPr="0072465B">
        <w:t>delay difference</w:t>
      </w:r>
      <w:r w:rsidR="00A81965">
        <w:t xml:space="preserve"> caused by the satellites</w:t>
      </w:r>
      <w:r w:rsidRPr="0072465B">
        <w:t>, e.g., 7 ms for gNB1-UE and 10 ms for gNB2-UE</w:t>
      </w:r>
      <w:r w:rsidR="006C78EA">
        <w:t xml:space="preserve"> in our example</w:t>
      </w:r>
      <w:r w:rsidRPr="0072465B">
        <w:t xml:space="preserve">, the UE </w:t>
      </w:r>
      <w:r w:rsidR="006C78EA">
        <w:t>might</w:t>
      </w:r>
      <w:r w:rsidRPr="0072465B">
        <w:t xml:space="preserve"> not receive the SSB from gNB2 in the configured smtc window.</w:t>
      </w:r>
    </w:p>
    <w:p w14:paraId="3B5AF9DB" w14:textId="77777777" w:rsidR="0072465B" w:rsidRDefault="0072465B" w:rsidP="0072465B">
      <w:r>
        <w:rPr>
          <w:noProof/>
        </w:rPr>
        <w:lastRenderedPageBreak/>
        <w:drawing>
          <wp:inline distT="0" distB="0" distL="0" distR="0" wp14:anchorId="4F34E542" wp14:editId="3B4BF4CF">
            <wp:extent cx="5943600" cy="2202815"/>
            <wp:effectExtent l="0" t="0" r="0" b="6985"/>
            <wp:docPr id="1" name="Picture 1" descr="A picture containing screenshot, sitting, control, remo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43600" cy="2202815"/>
                    </a:xfrm>
                    <a:prstGeom prst="rect">
                      <a:avLst/>
                    </a:prstGeom>
                  </pic:spPr>
                </pic:pic>
              </a:graphicData>
            </a:graphic>
          </wp:inline>
        </w:drawing>
      </w:r>
    </w:p>
    <w:p w14:paraId="1B529EFA" w14:textId="4814C4FA" w:rsidR="0072465B" w:rsidRDefault="0072465B" w:rsidP="0072465B">
      <w:pPr>
        <w:pStyle w:val="Caption"/>
      </w:pPr>
      <w:bookmarkStart w:id="4" w:name="_Ref46928855"/>
      <w:bookmarkStart w:id="5" w:name="_Ref46928850"/>
      <w:r>
        <w:t xml:space="preserve">Figure </w:t>
      </w:r>
      <w:r>
        <w:fldChar w:fldCharType="begin"/>
      </w:r>
      <w:r>
        <w:instrText xml:space="preserve"> SEQ Figure \* ARABIC </w:instrText>
      </w:r>
      <w:r>
        <w:fldChar w:fldCharType="separate"/>
      </w:r>
      <w:r w:rsidR="006C78EA">
        <w:rPr>
          <w:noProof/>
        </w:rPr>
        <w:t>3</w:t>
      </w:r>
      <w:r>
        <w:fldChar w:fldCharType="end"/>
      </w:r>
      <w:bookmarkEnd w:id="4"/>
      <w:r>
        <w:t>: Propagation delay difference on smtc</w:t>
      </w:r>
      <w:bookmarkEnd w:id="5"/>
      <w:r>
        <w:t xml:space="preserve"> misalignment</w:t>
      </w:r>
    </w:p>
    <w:p w14:paraId="6E3E4EA4" w14:textId="208EE0A9" w:rsidR="00D724CE" w:rsidRPr="00D724CE" w:rsidRDefault="0072465B" w:rsidP="00D724CE">
      <w:pPr>
        <w:spacing w:after="240"/>
      </w:pPr>
      <w:r>
        <w:t>Note that a</w:t>
      </w:r>
      <w:r w:rsidR="00D724CE" w:rsidRPr="00D724CE">
        <w:t>ccording to Rel-16 NR, when SSB</w:t>
      </w:r>
      <w:r w:rsidR="006C78EA">
        <w:t>s</w:t>
      </w:r>
      <w:r w:rsidR="00D724CE" w:rsidRPr="00D724CE">
        <w:t xml:space="preserve"> are outside smtc occasions, UE in RRC_CONNECTED shall not measure them, except for SFTD measurement. </w:t>
      </w:r>
      <w:r w:rsidR="00E728F3">
        <w:t>The r</w:t>
      </w:r>
      <w:r w:rsidR="00D724CE" w:rsidRPr="00D724CE">
        <w:t>elated context in the specifications is given below:</w:t>
      </w:r>
    </w:p>
    <w:tbl>
      <w:tblPr>
        <w:tblStyle w:val="TableGrid"/>
        <w:tblW w:w="0" w:type="auto"/>
        <w:tblLook w:val="04A0" w:firstRow="1" w:lastRow="0" w:firstColumn="1" w:lastColumn="0" w:noHBand="0" w:noVBand="1"/>
      </w:tblPr>
      <w:tblGrid>
        <w:gridCol w:w="9350"/>
      </w:tblGrid>
      <w:tr w:rsidR="00D724CE" w:rsidRPr="00D724CE" w14:paraId="42791E1F" w14:textId="77777777" w:rsidTr="0021588A">
        <w:tc>
          <w:tcPr>
            <w:tcW w:w="9350" w:type="dxa"/>
          </w:tcPr>
          <w:p w14:paraId="675BEA3A" w14:textId="77777777" w:rsidR="00D724CE" w:rsidRPr="00D724CE" w:rsidRDefault="00D724CE" w:rsidP="00EA6757">
            <w:pPr>
              <w:spacing w:before="120"/>
              <w:rPr>
                <w:b/>
                <w:bCs/>
              </w:rPr>
            </w:pPr>
            <w:r w:rsidRPr="00D724CE">
              <w:rPr>
                <w:b/>
                <w:bCs/>
              </w:rPr>
              <w:t>3GPP TS 38.331 V16.1.0 (2020-07)</w:t>
            </w:r>
          </w:p>
          <w:p w14:paraId="4C35AEA0" w14:textId="77777777" w:rsidR="00D724CE" w:rsidRPr="00D724CE" w:rsidRDefault="00D724CE" w:rsidP="00D724CE">
            <w:r w:rsidRPr="00D724CE">
              <w:t xml:space="preserve">On the indicated </w:t>
            </w:r>
            <w:proofErr w:type="spellStart"/>
            <w:r w:rsidRPr="00D724CE">
              <w:rPr>
                <w:i/>
                <w:iCs/>
              </w:rPr>
              <w:t>ssbFrequency</w:t>
            </w:r>
            <w:proofErr w:type="spellEnd"/>
            <w:r w:rsidRPr="00D724CE">
              <w:t>, the UE shall not consider SS/PBCH block transmission in subframes outside the smtc occasion for RRM measurements based on SS/PBCH blocks and for RRM measurements based on CSI-RS except for SFTD measurement (see TS 38.133 [14], subclause 9.3.8).</w:t>
            </w:r>
          </w:p>
        </w:tc>
      </w:tr>
    </w:tbl>
    <w:p w14:paraId="3B85579D" w14:textId="5182489A" w:rsidR="00D724CE" w:rsidRDefault="00A81965" w:rsidP="00D724CE">
      <w:pPr>
        <w:spacing w:before="240"/>
      </w:pPr>
      <w:r>
        <w:t>To handle this, i</w:t>
      </w:r>
      <w:r w:rsidR="00D724CE" w:rsidRPr="00D724CE">
        <w:t>f NW has UE location</w:t>
      </w:r>
      <w:r w:rsidR="00B709AC">
        <w:t xml:space="preserve"> information</w:t>
      </w:r>
      <w:r>
        <w:t xml:space="preserve"> and maintain</w:t>
      </w:r>
      <w:r w:rsidR="00B709AC">
        <w:t>s</w:t>
      </w:r>
      <w:r>
        <w:t xml:space="preserve"> this information</w:t>
      </w:r>
      <w:r w:rsidR="00B709AC">
        <w:t xml:space="preserve"> </w:t>
      </w:r>
      <w:r>
        <w:t>regularly</w:t>
      </w:r>
      <w:r w:rsidR="00D724CE" w:rsidRPr="00D724CE">
        <w:t>, the delay difference m</w:t>
      </w:r>
      <w:r>
        <w:t>ight</w:t>
      </w:r>
      <w:r w:rsidR="00D724CE" w:rsidRPr="00D724CE">
        <w:t xml:space="preserve"> be calculated and compensated at the NW side. In this case, UE location reporting and inter-node </w:t>
      </w:r>
      <w:r w:rsidR="0072465B">
        <w:t>UE location</w:t>
      </w:r>
      <w:r w:rsidR="00D724CE" w:rsidRPr="00D724CE">
        <w:t xml:space="preserve"> exchang</w:t>
      </w:r>
      <w:r w:rsidR="00E728F3">
        <w:t>e</w:t>
      </w:r>
      <w:r w:rsidR="0072465B">
        <w:t xml:space="preserve"> </w:t>
      </w:r>
      <w:r w:rsidR="00D724CE" w:rsidRPr="00D724CE">
        <w:t>may be mandatory. Otherwise, if NW has no UE location or UE cannot report location, NW may only rely on triggering SFTD measurement to support SSB measurement outside smtc</w:t>
      </w:r>
      <w:r w:rsidR="006C78EA">
        <w:t xml:space="preserve"> based on Rel-16 NR</w:t>
      </w:r>
      <w:r w:rsidR="00D724CE" w:rsidRPr="00D724CE">
        <w:t>.</w:t>
      </w:r>
    </w:p>
    <w:p w14:paraId="04BCEF54" w14:textId="29182359" w:rsidR="001945D6" w:rsidRDefault="001945D6" w:rsidP="00E728F3">
      <w:pPr>
        <w:pStyle w:val="Proposal"/>
      </w:pPr>
      <w:bookmarkStart w:id="6" w:name="_Toc47693130"/>
      <w:r>
        <w:t>T</w:t>
      </w:r>
      <w:r w:rsidRPr="001945D6">
        <w:t>o address propagation delay difference between satellites</w:t>
      </w:r>
      <w:r>
        <w:t>,</w:t>
      </w:r>
      <w:r w:rsidRPr="001945D6">
        <w:t xml:space="preserve"> </w:t>
      </w:r>
      <w:r>
        <w:t>enhancement</w:t>
      </w:r>
      <w:r w:rsidR="006C78EA">
        <w:t xml:space="preserve"> </w:t>
      </w:r>
      <w:r>
        <w:t xml:space="preserve">on </w:t>
      </w:r>
      <w:r w:rsidR="006C78EA">
        <w:t>SFTD measurement shall be considered</w:t>
      </w:r>
      <w:r w:rsidR="006C78EA" w:rsidRPr="006C78EA">
        <w:t xml:space="preserve"> </w:t>
      </w:r>
      <w:r w:rsidR="006C78EA">
        <w:t>in Rel-17 NTN</w:t>
      </w:r>
      <w:r>
        <w:t>.</w:t>
      </w:r>
      <w:bookmarkEnd w:id="6"/>
    </w:p>
    <w:p w14:paraId="70915E47" w14:textId="01BDCFDC" w:rsidR="001945D6" w:rsidRDefault="001945D6" w:rsidP="001945D6">
      <w:pPr>
        <w:pStyle w:val="Heading2"/>
      </w:pPr>
      <w:r w:rsidRPr="001945D6">
        <w:t>Number of smtc windows</w:t>
      </w:r>
    </w:p>
    <w:p w14:paraId="316C4157" w14:textId="77777777" w:rsidR="001945D6" w:rsidRPr="001945D6" w:rsidRDefault="001945D6" w:rsidP="001945D6">
      <w:pPr>
        <w:spacing w:after="240"/>
      </w:pPr>
      <w:r w:rsidRPr="001945D6">
        <w:t xml:space="preserve">In Rel-16 NR, there are three smtc windows, two for eMBB and one for IAB service. For eMBB service, the main features of Rel-16 smtc are like the Rel-15 smtc design, summarized in </w:t>
      </w:r>
      <w:r w:rsidRPr="001945D6">
        <w:fldChar w:fldCharType="begin"/>
      </w:r>
      <w:r w:rsidRPr="001945D6">
        <w:instrText xml:space="preserve"> REF _Ref47024126 \h </w:instrText>
      </w:r>
      <w:r w:rsidRPr="001945D6">
        <w:fldChar w:fldCharType="separate"/>
      </w:r>
      <w:r w:rsidRPr="001945D6">
        <w:t>Table 1</w:t>
      </w:r>
      <w:r w:rsidRPr="001945D6">
        <w:fldChar w:fldCharType="end"/>
      </w:r>
      <w:r w:rsidRPr="001945D6">
        <w:t>.</w:t>
      </w:r>
    </w:p>
    <w:p w14:paraId="21137F9F" w14:textId="77777777" w:rsidR="001945D6" w:rsidRPr="001945D6" w:rsidRDefault="001945D6" w:rsidP="001945D6">
      <w:pPr>
        <w:jc w:val="center"/>
        <w:rPr>
          <w:b/>
          <w:bCs/>
        </w:rPr>
      </w:pPr>
      <w:r w:rsidRPr="001945D6">
        <w:rPr>
          <w:b/>
          <w:bCs/>
        </w:rPr>
        <w:t xml:space="preserve">Table </w:t>
      </w:r>
      <w:r w:rsidRPr="001945D6">
        <w:rPr>
          <w:b/>
          <w:bCs/>
        </w:rPr>
        <w:fldChar w:fldCharType="begin"/>
      </w:r>
      <w:r w:rsidRPr="001945D6">
        <w:rPr>
          <w:b/>
          <w:bCs/>
        </w:rPr>
        <w:instrText xml:space="preserve"> SEQ Table \* ARABIC </w:instrText>
      </w:r>
      <w:r w:rsidRPr="001945D6">
        <w:rPr>
          <w:b/>
          <w:bCs/>
        </w:rPr>
        <w:fldChar w:fldCharType="separate"/>
      </w:r>
      <w:r w:rsidRPr="001945D6">
        <w:rPr>
          <w:b/>
          <w:bCs/>
        </w:rPr>
        <w:t>2</w:t>
      </w:r>
      <w:r w:rsidRPr="001945D6">
        <w:fldChar w:fldCharType="end"/>
      </w:r>
      <w:r w:rsidRPr="001945D6">
        <w:rPr>
          <w:b/>
          <w:bCs/>
        </w:rPr>
        <w:t>: Summary of Rel-15 smtc design</w:t>
      </w:r>
    </w:p>
    <w:tbl>
      <w:tblPr>
        <w:tblStyle w:val="TableGrid"/>
        <w:tblW w:w="0" w:type="auto"/>
        <w:tblLook w:val="04A0" w:firstRow="1" w:lastRow="0" w:firstColumn="1" w:lastColumn="0" w:noHBand="0" w:noVBand="1"/>
      </w:tblPr>
      <w:tblGrid>
        <w:gridCol w:w="1757"/>
        <w:gridCol w:w="1623"/>
        <w:gridCol w:w="5970"/>
      </w:tblGrid>
      <w:tr w:rsidR="001945D6" w:rsidRPr="001945D6" w14:paraId="2844C8B6" w14:textId="77777777" w:rsidTr="001945D6">
        <w:tc>
          <w:tcPr>
            <w:tcW w:w="0" w:type="auto"/>
            <w:gridSpan w:val="2"/>
            <w:vAlign w:val="center"/>
          </w:tcPr>
          <w:p w14:paraId="0413C883" w14:textId="77777777" w:rsidR="001945D6" w:rsidRPr="001945D6" w:rsidRDefault="001945D6" w:rsidP="001945D6">
            <w:pPr>
              <w:jc w:val="left"/>
            </w:pPr>
            <w:r w:rsidRPr="001945D6">
              <w:t>Number of smtc windows</w:t>
            </w:r>
          </w:p>
        </w:tc>
        <w:tc>
          <w:tcPr>
            <w:tcW w:w="0" w:type="auto"/>
            <w:vAlign w:val="center"/>
          </w:tcPr>
          <w:p w14:paraId="06000397" w14:textId="77777777" w:rsidR="001945D6" w:rsidRPr="001945D6" w:rsidRDefault="001945D6" w:rsidP="001945D6">
            <w:pPr>
              <w:numPr>
                <w:ilvl w:val="0"/>
                <w:numId w:val="31"/>
              </w:numPr>
              <w:contextualSpacing/>
              <w:jc w:val="left"/>
            </w:pPr>
            <w:r w:rsidRPr="001945D6">
              <w:t xml:space="preserve">2 for intra-frequency </w:t>
            </w:r>
          </w:p>
          <w:p w14:paraId="49965B99" w14:textId="77777777" w:rsidR="001945D6" w:rsidRPr="001945D6" w:rsidRDefault="001945D6" w:rsidP="001945D6">
            <w:pPr>
              <w:numPr>
                <w:ilvl w:val="0"/>
                <w:numId w:val="31"/>
              </w:numPr>
              <w:contextualSpacing/>
              <w:jc w:val="left"/>
            </w:pPr>
            <w:r w:rsidRPr="001945D6">
              <w:t xml:space="preserve">1 for inter-frequency </w:t>
            </w:r>
          </w:p>
        </w:tc>
      </w:tr>
      <w:tr w:rsidR="001945D6" w:rsidRPr="001945D6" w14:paraId="568076C1" w14:textId="77777777" w:rsidTr="001945D6">
        <w:tc>
          <w:tcPr>
            <w:tcW w:w="0" w:type="auto"/>
            <w:gridSpan w:val="2"/>
            <w:vAlign w:val="center"/>
          </w:tcPr>
          <w:p w14:paraId="71D4B692" w14:textId="77777777" w:rsidR="001945D6" w:rsidRPr="001945D6" w:rsidRDefault="001945D6" w:rsidP="001945D6">
            <w:pPr>
              <w:jc w:val="left"/>
            </w:pPr>
            <w:r w:rsidRPr="001945D6">
              <w:t xml:space="preserve">Frequency domain configuration </w:t>
            </w:r>
          </w:p>
        </w:tc>
        <w:tc>
          <w:tcPr>
            <w:tcW w:w="0" w:type="auto"/>
            <w:vAlign w:val="center"/>
          </w:tcPr>
          <w:p w14:paraId="086CF1AF" w14:textId="77777777" w:rsidR="001945D6" w:rsidRPr="001945D6" w:rsidRDefault="001945D6" w:rsidP="001945D6">
            <w:pPr>
              <w:numPr>
                <w:ilvl w:val="0"/>
                <w:numId w:val="35"/>
              </w:numPr>
              <w:contextualSpacing/>
              <w:jc w:val="left"/>
            </w:pPr>
            <w:r w:rsidRPr="001945D6">
              <w:t xml:space="preserve">Centre frequency is flexibly configured via </w:t>
            </w:r>
            <w:proofErr w:type="spellStart"/>
            <w:r w:rsidRPr="001945D6">
              <w:rPr>
                <w:i/>
              </w:rPr>
              <w:t>ssbFrequency</w:t>
            </w:r>
            <w:proofErr w:type="spellEnd"/>
          </w:p>
        </w:tc>
      </w:tr>
      <w:tr w:rsidR="001945D6" w:rsidRPr="001945D6" w14:paraId="1EB97CB9" w14:textId="77777777" w:rsidTr="001945D6">
        <w:tc>
          <w:tcPr>
            <w:tcW w:w="0" w:type="auto"/>
            <w:vMerge w:val="restart"/>
            <w:vAlign w:val="center"/>
          </w:tcPr>
          <w:p w14:paraId="19589C16" w14:textId="77777777" w:rsidR="001945D6" w:rsidRPr="001945D6" w:rsidRDefault="001945D6" w:rsidP="001945D6">
            <w:pPr>
              <w:jc w:val="left"/>
            </w:pPr>
            <w:r w:rsidRPr="001945D6">
              <w:t>Time domain configuration</w:t>
            </w:r>
          </w:p>
        </w:tc>
        <w:tc>
          <w:tcPr>
            <w:tcW w:w="0" w:type="auto"/>
            <w:vAlign w:val="center"/>
          </w:tcPr>
          <w:p w14:paraId="7768C6E3" w14:textId="77777777" w:rsidR="001945D6" w:rsidRPr="001945D6" w:rsidRDefault="001945D6" w:rsidP="001945D6">
            <w:pPr>
              <w:jc w:val="left"/>
            </w:pPr>
            <w:r w:rsidRPr="001945D6">
              <w:t>Periodicity of smtc window</w:t>
            </w:r>
          </w:p>
        </w:tc>
        <w:tc>
          <w:tcPr>
            <w:tcW w:w="0" w:type="auto"/>
            <w:vAlign w:val="center"/>
          </w:tcPr>
          <w:p w14:paraId="09A2FCF0" w14:textId="77777777" w:rsidR="001945D6" w:rsidRPr="001945D6" w:rsidRDefault="001945D6" w:rsidP="001945D6">
            <w:pPr>
              <w:numPr>
                <w:ilvl w:val="0"/>
                <w:numId w:val="34"/>
              </w:numPr>
              <w:contextualSpacing/>
              <w:jc w:val="left"/>
            </w:pPr>
            <w:r w:rsidRPr="001945D6">
              <w:t xml:space="preserve">Configured via </w:t>
            </w:r>
            <w:proofErr w:type="spellStart"/>
            <w:r w:rsidRPr="001945D6">
              <w:rPr>
                <w:i/>
              </w:rPr>
              <w:t>periodicityAndOffset</w:t>
            </w:r>
            <w:proofErr w:type="spellEnd"/>
            <w:r w:rsidRPr="001945D6">
              <w:rPr>
                <w:i/>
              </w:rPr>
              <w:t xml:space="preserve"> </w:t>
            </w:r>
            <w:r w:rsidRPr="001945D6">
              <w:t xml:space="preserve">for </w:t>
            </w:r>
            <w:r w:rsidRPr="001945D6">
              <w:rPr>
                <w:i/>
              </w:rPr>
              <w:t>smtc1 and periodicity</w:t>
            </w:r>
            <w:r w:rsidRPr="001945D6">
              <w:t xml:space="preserve"> for smtc2.</w:t>
            </w:r>
          </w:p>
          <w:p w14:paraId="4CCE2A13" w14:textId="77777777" w:rsidR="001945D6" w:rsidRPr="001945D6" w:rsidRDefault="001945D6" w:rsidP="001945D6">
            <w:pPr>
              <w:numPr>
                <w:ilvl w:val="0"/>
                <w:numId w:val="32"/>
              </w:numPr>
              <w:contextualSpacing/>
              <w:jc w:val="left"/>
            </w:pPr>
            <w:r w:rsidRPr="001945D6">
              <w:t>smtc1: in {5, 10, 20, 40, 80, 160} msec.</w:t>
            </w:r>
          </w:p>
          <w:p w14:paraId="1C30FF29" w14:textId="77777777" w:rsidR="001945D6" w:rsidRPr="001945D6" w:rsidRDefault="001945D6" w:rsidP="001945D6">
            <w:pPr>
              <w:numPr>
                <w:ilvl w:val="0"/>
                <w:numId w:val="32"/>
              </w:numPr>
              <w:contextualSpacing/>
              <w:jc w:val="left"/>
            </w:pPr>
            <w:r w:rsidRPr="001945D6">
              <w:t>smtc2: in {5, 10, 20, 40, 80} msec.</w:t>
            </w:r>
          </w:p>
        </w:tc>
      </w:tr>
      <w:tr w:rsidR="001945D6" w:rsidRPr="001945D6" w14:paraId="53FDC74D" w14:textId="77777777" w:rsidTr="001945D6">
        <w:tc>
          <w:tcPr>
            <w:tcW w:w="0" w:type="auto"/>
            <w:vMerge/>
            <w:vAlign w:val="center"/>
          </w:tcPr>
          <w:p w14:paraId="4CF27ADB" w14:textId="77777777" w:rsidR="001945D6" w:rsidRPr="001945D6" w:rsidRDefault="001945D6" w:rsidP="001945D6">
            <w:pPr>
              <w:jc w:val="left"/>
            </w:pPr>
          </w:p>
        </w:tc>
        <w:tc>
          <w:tcPr>
            <w:tcW w:w="0" w:type="auto"/>
            <w:vAlign w:val="center"/>
          </w:tcPr>
          <w:p w14:paraId="0D5FFF80" w14:textId="77777777" w:rsidR="001945D6" w:rsidRPr="001945D6" w:rsidRDefault="001945D6" w:rsidP="001945D6">
            <w:pPr>
              <w:jc w:val="left"/>
            </w:pPr>
            <w:r w:rsidRPr="001945D6">
              <w:t xml:space="preserve">Offset of smtc window </w:t>
            </w:r>
          </w:p>
        </w:tc>
        <w:tc>
          <w:tcPr>
            <w:tcW w:w="0" w:type="auto"/>
            <w:vAlign w:val="center"/>
          </w:tcPr>
          <w:p w14:paraId="36D9801B" w14:textId="77777777" w:rsidR="001945D6" w:rsidRPr="001945D6" w:rsidRDefault="001945D6" w:rsidP="001945D6">
            <w:pPr>
              <w:numPr>
                <w:ilvl w:val="0"/>
                <w:numId w:val="33"/>
              </w:numPr>
              <w:contextualSpacing/>
              <w:jc w:val="left"/>
            </w:pPr>
            <w:r w:rsidRPr="001945D6">
              <w:t xml:space="preserve">Configured via </w:t>
            </w:r>
            <w:proofErr w:type="spellStart"/>
            <w:r w:rsidRPr="001945D6">
              <w:rPr>
                <w:i/>
                <w:iCs/>
              </w:rPr>
              <w:t>periodicityAndOffset</w:t>
            </w:r>
            <w:proofErr w:type="spellEnd"/>
            <w:r w:rsidRPr="001945D6">
              <w:t>.</w:t>
            </w:r>
          </w:p>
          <w:p w14:paraId="511464E6" w14:textId="77777777" w:rsidR="001945D6" w:rsidRPr="001945D6" w:rsidRDefault="001945D6" w:rsidP="001945D6">
            <w:pPr>
              <w:numPr>
                <w:ilvl w:val="0"/>
                <w:numId w:val="33"/>
              </w:numPr>
              <w:contextualSpacing/>
              <w:jc w:val="left"/>
            </w:pPr>
            <w:r w:rsidRPr="001945D6">
              <w:t xml:space="preserve">Same value for both smtc1 and smtc2. </w:t>
            </w:r>
          </w:p>
          <w:p w14:paraId="166FA446" w14:textId="77777777" w:rsidR="001945D6" w:rsidRPr="001945D6" w:rsidRDefault="001945D6" w:rsidP="001945D6">
            <w:pPr>
              <w:numPr>
                <w:ilvl w:val="0"/>
                <w:numId w:val="33"/>
              </w:numPr>
              <w:contextualSpacing/>
              <w:jc w:val="left"/>
            </w:pPr>
            <w:r w:rsidRPr="001945D6">
              <w:t xml:space="preserve">Can be flexibly configured at subframe granularity. </w:t>
            </w:r>
          </w:p>
        </w:tc>
      </w:tr>
      <w:tr w:rsidR="001945D6" w:rsidRPr="001945D6" w14:paraId="1EB7C7FF" w14:textId="77777777" w:rsidTr="001945D6">
        <w:tc>
          <w:tcPr>
            <w:tcW w:w="0" w:type="auto"/>
            <w:vMerge/>
            <w:vAlign w:val="center"/>
          </w:tcPr>
          <w:p w14:paraId="49D3C5D0" w14:textId="77777777" w:rsidR="001945D6" w:rsidRPr="001945D6" w:rsidRDefault="001945D6" w:rsidP="001945D6">
            <w:pPr>
              <w:jc w:val="left"/>
            </w:pPr>
          </w:p>
        </w:tc>
        <w:tc>
          <w:tcPr>
            <w:tcW w:w="0" w:type="auto"/>
            <w:vAlign w:val="center"/>
          </w:tcPr>
          <w:p w14:paraId="5C58AB88" w14:textId="77777777" w:rsidR="001945D6" w:rsidRPr="001945D6" w:rsidRDefault="001945D6" w:rsidP="001945D6">
            <w:pPr>
              <w:jc w:val="left"/>
            </w:pPr>
            <w:r w:rsidRPr="001945D6">
              <w:t>Duration of smtc window</w:t>
            </w:r>
          </w:p>
        </w:tc>
        <w:tc>
          <w:tcPr>
            <w:tcW w:w="0" w:type="auto"/>
            <w:vAlign w:val="center"/>
          </w:tcPr>
          <w:p w14:paraId="50B95A9F" w14:textId="77777777" w:rsidR="001945D6" w:rsidRPr="001945D6" w:rsidRDefault="001945D6" w:rsidP="001945D6">
            <w:pPr>
              <w:numPr>
                <w:ilvl w:val="0"/>
                <w:numId w:val="33"/>
              </w:numPr>
              <w:contextualSpacing/>
              <w:jc w:val="left"/>
            </w:pPr>
            <w:r w:rsidRPr="001945D6">
              <w:t>Configured via duration.</w:t>
            </w:r>
          </w:p>
          <w:p w14:paraId="71D653E9" w14:textId="77777777" w:rsidR="001945D6" w:rsidRPr="001945D6" w:rsidRDefault="001945D6" w:rsidP="001945D6">
            <w:pPr>
              <w:numPr>
                <w:ilvl w:val="0"/>
                <w:numId w:val="33"/>
              </w:numPr>
              <w:contextualSpacing/>
              <w:jc w:val="left"/>
            </w:pPr>
            <w:r w:rsidRPr="001945D6">
              <w:t xml:space="preserve">Same value for both smtc1 and smtc2. </w:t>
            </w:r>
          </w:p>
          <w:p w14:paraId="465DFCCB" w14:textId="77777777" w:rsidR="001945D6" w:rsidRPr="001945D6" w:rsidRDefault="001945D6" w:rsidP="001945D6">
            <w:pPr>
              <w:numPr>
                <w:ilvl w:val="0"/>
                <w:numId w:val="33"/>
              </w:numPr>
              <w:contextualSpacing/>
              <w:jc w:val="left"/>
            </w:pPr>
            <w:r w:rsidRPr="001945D6">
              <w:t>Can be configured as {1,2,3,4,5} subframes.</w:t>
            </w:r>
          </w:p>
        </w:tc>
      </w:tr>
      <w:tr w:rsidR="001945D6" w:rsidRPr="001945D6" w14:paraId="2245B0D9" w14:textId="77777777" w:rsidTr="001945D6">
        <w:tc>
          <w:tcPr>
            <w:tcW w:w="0" w:type="auto"/>
            <w:vMerge/>
            <w:vAlign w:val="center"/>
          </w:tcPr>
          <w:p w14:paraId="0B8049B9" w14:textId="77777777" w:rsidR="001945D6" w:rsidRPr="001945D6" w:rsidRDefault="001945D6" w:rsidP="001945D6">
            <w:pPr>
              <w:jc w:val="left"/>
            </w:pPr>
          </w:p>
        </w:tc>
        <w:tc>
          <w:tcPr>
            <w:tcW w:w="0" w:type="auto"/>
            <w:vAlign w:val="center"/>
          </w:tcPr>
          <w:p w14:paraId="5398E7A4" w14:textId="77777777" w:rsidR="001945D6" w:rsidRPr="001945D6" w:rsidRDefault="001945D6" w:rsidP="001945D6">
            <w:pPr>
              <w:jc w:val="left"/>
            </w:pPr>
            <w:r w:rsidRPr="001945D6">
              <w:t>SSB locations</w:t>
            </w:r>
          </w:p>
        </w:tc>
        <w:tc>
          <w:tcPr>
            <w:tcW w:w="0" w:type="auto"/>
            <w:vAlign w:val="center"/>
          </w:tcPr>
          <w:p w14:paraId="2BFB6994" w14:textId="77777777" w:rsidR="001945D6" w:rsidRPr="001945D6" w:rsidRDefault="001945D6" w:rsidP="001945D6">
            <w:pPr>
              <w:numPr>
                <w:ilvl w:val="0"/>
                <w:numId w:val="33"/>
              </w:numPr>
              <w:contextualSpacing/>
              <w:jc w:val="left"/>
            </w:pPr>
            <w:r w:rsidRPr="001945D6">
              <w:t xml:space="preserve">Must follow the SS burst set pattern. </w:t>
            </w:r>
          </w:p>
          <w:p w14:paraId="670E14ED" w14:textId="77777777" w:rsidR="001945D6" w:rsidRPr="001945D6" w:rsidRDefault="001945D6" w:rsidP="001945D6">
            <w:pPr>
              <w:numPr>
                <w:ilvl w:val="0"/>
                <w:numId w:val="33"/>
              </w:numPr>
              <w:contextualSpacing/>
              <w:jc w:val="left"/>
            </w:pPr>
            <w:r w:rsidRPr="001945D6">
              <w:t xml:space="preserve">Index of SSBs to measure can optionally be configured via parameter </w:t>
            </w:r>
            <w:proofErr w:type="spellStart"/>
            <w:r w:rsidRPr="001945D6">
              <w:rPr>
                <w:i/>
                <w:iCs/>
              </w:rPr>
              <w:t>ssb-ToMeasure</w:t>
            </w:r>
            <w:proofErr w:type="spellEnd"/>
            <w:r w:rsidRPr="001945D6">
              <w:t>. (same configuration for both smtc1 and smtc2)</w:t>
            </w:r>
          </w:p>
        </w:tc>
      </w:tr>
      <w:tr w:rsidR="001945D6" w:rsidRPr="001945D6" w14:paraId="312F3DA4" w14:textId="77777777" w:rsidTr="001945D6">
        <w:tc>
          <w:tcPr>
            <w:tcW w:w="0" w:type="auto"/>
            <w:gridSpan w:val="2"/>
            <w:vAlign w:val="center"/>
          </w:tcPr>
          <w:p w14:paraId="669E4C1F" w14:textId="77777777" w:rsidR="001945D6" w:rsidRPr="001945D6" w:rsidRDefault="001945D6" w:rsidP="001945D6">
            <w:pPr>
              <w:jc w:val="left"/>
            </w:pPr>
            <w:r w:rsidRPr="001945D6">
              <w:t>List of PCIs</w:t>
            </w:r>
          </w:p>
        </w:tc>
        <w:tc>
          <w:tcPr>
            <w:tcW w:w="0" w:type="auto"/>
            <w:vAlign w:val="center"/>
          </w:tcPr>
          <w:p w14:paraId="61DB328D" w14:textId="77777777" w:rsidR="001945D6" w:rsidRPr="001945D6" w:rsidRDefault="001945D6" w:rsidP="001945D6">
            <w:pPr>
              <w:numPr>
                <w:ilvl w:val="0"/>
                <w:numId w:val="33"/>
              </w:numPr>
              <w:contextualSpacing/>
              <w:jc w:val="left"/>
            </w:pPr>
            <w:r w:rsidRPr="001945D6">
              <w:t xml:space="preserve">For smtc2, </w:t>
            </w:r>
            <w:proofErr w:type="spellStart"/>
            <w:r w:rsidRPr="001945D6">
              <w:rPr>
                <w:i/>
                <w:iCs/>
              </w:rPr>
              <w:t>pci</w:t>
            </w:r>
            <w:proofErr w:type="spellEnd"/>
            <w:r w:rsidRPr="001945D6">
              <w:rPr>
                <w:i/>
                <w:iCs/>
              </w:rPr>
              <w:t>-List</w:t>
            </w:r>
            <w:r w:rsidRPr="001945D6">
              <w:t xml:space="preserve"> can be configured to indicate the list of associated PCIs. </w:t>
            </w:r>
          </w:p>
        </w:tc>
      </w:tr>
    </w:tbl>
    <w:p w14:paraId="7C5C7E10" w14:textId="244D8166" w:rsidR="001945D6" w:rsidRDefault="001945D6" w:rsidP="001945D6">
      <w:pPr>
        <w:spacing w:before="240"/>
      </w:pPr>
      <w:r w:rsidRPr="001945D6">
        <w:t>To allow NTN cells from different satellites to be discovered or measured by a UE, the corresponding SSBs should be at least partially within smtc windows configured to the UE. Limiting the number of smtc windows to 1 or 2 would require all SSB from neighbouring NTN cells to be transmitted within these 1 or 2 windows and hence it would be impossible to achieve due to large propagation delay difference</w:t>
      </w:r>
      <w:r>
        <w:t>s</w:t>
      </w:r>
      <w:r w:rsidR="00F04F9E">
        <w:rPr>
          <w:lang w:val="en-US" w:eastAsia="zh-TW"/>
        </w:rPr>
        <w:t xml:space="preserve"> </w:t>
      </w:r>
      <w:r w:rsidR="00B709AC">
        <w:rPr>
          <w:lang w:val="en-US" w:eastAsia="zh-TW"/>
        </w:rPr>
        <w:t xml:space="preserve">caused by </w:t>
      </w:r>
      <w:r w:rsidR="00F04F9E">
        <w:rPr>
          <w:lang w:val="en-US" w:eastAsia="zh-TW"/>
        </w:rPr>
        <w:t>satellites</w:t>
      </w:r>
      <w:r w:rsidRPr="001945D6">
        <w:t xml:space="preserve">. </w:t>
      </w:r>
    </w:p>
    <w:p w14:paraId="0952F052" w14:textId="5A60098A" w:rsidR="001945D6" w:rsidRPr="001945D6" w:rsidRDefault="001945D6" w:rsidP="001945D6">
      <w:pPr>
        <w:pStyle w:val="Observation"/>
      </w:pPr>
      <w:bookmarkStart w:id="7" w:name="_Toc47693127"/>
      <w:r>
        <w:t xml:space="preserve">The maximum number of smtc windows in Rel-16 NR may not support SSB measurement caused by </w:t>
      </w:r>
      <w:r w:rsidRPr="001945D6">
        <w:t>propagation delay difference between satellites</w:t>
      </w:r>
      <w:r>
        <w:t>.</w:t>
      </w:r>
      <w:bookmarkEnd w:id="7"/>
    </w:p>
    <w:p w14:paraId="035D2294" w14:textId="77777777" w:rsidR="001945D6" w:rsidRPr="001945D6" w:rsidRDefault="001945D6" w:rsidP="001945D6">
      <w:r w:rsidRPr="001945D6">
        <w:t>Another limitation of the Rel-15 design is that some parameters, like smtc window offset and duration and indices of SSBs to be measured, are commonly configured for both smtc1 and smtc2. It is important to have enough flexibility of configuring multiple smtc windows, e.g., the ability to configure multiple measurement windows (with different offsets) within the same period may be necessary for efficient operation. Hence, the proposal to increase the maximum number of smtc windows may handle this need.</w:t>
      </w:r>
    </w:p>
    <w:p w14:paraId="03457756" w14:textId="58F570EE" w:rsidR="001945D6" w:rsidRPr="001945D6" w:rsidRDefault="004831BB" w:rsidP="00E728F3">
      <w:pPr>
        <w:pStyle w:val="Proposal"/>
      </w:pPr>
      <w:bookmarkStart w:id="8" w:name="_Toc47693131"/>
      <w:r>
        <w:t>To i</w:t>
      </w:r>
      <w:r w:rsidR="001945D6" w:rsidRPr="001945D6">
        <w:t>ncrease the maximum number of smtc windows that can be configured per frequency to a value greater than 2</w:t>
      </w:r>
      <w:r w:rsidR="001945D6">
        <w:t xml:space="preserve"> </w:t>
      </w:r>
      <w:r>
        <w:t xml:space="preserve">shall be considered in </w:t>
      </w:r>
      <w:r>
        <w:t>Rel-17 NTN</w:t>
      </w:r>
      <w:r w:rsidR="001945D6" w:rsidRPr="001945D6">
        <w:t>.</w:t>
      </w:r>
      <w:bookmarkEnd w:id="8"/>
    </w:p>
    <w:p w14:paraId="42044CA2" w14:textId="77777777" w:rsidR="00E65ED1" w:rsidRDefault="00A558B4" w:rsidP="00644835">
      <w:pPr>
        <w:pStyle w:val="Heading1"/>
        <w:snapToGrid w:val="0"/>
        <w:jc w:val="both"/>
      </w:pPr>
      <w:r>
        <w:t>Conclusion</w:t>
      </w:r>
    </w:p>
    <w:p w14:paraId="7AA1DE50" w14:textId="77777777" w:rsidR="004831BB" w:rsidRDefault="00E6785D" w:rsidP="00BA149C">
      <w:pPr>
        <w:snapToGrid w:val="0"/>
        <w:rPr>
          <w:noProof/>
        </w:rPr>
      </w:pPr>
      <w:r>
        <w:t>In this contribution, we have the following observations</w:t>
      </w:r>
      <w:r w:rsidR="00BA149C" w:rsidRPr="000B5758">
        <w:rPr>
          <w:rFonts w:eastAsia="Malgun Gothic" w:cstheme="minorHAnsi"/>
          <w:noProof/>
          <w:lang w:val="en-US" w:eastAsia="en-US"/>
        </w:rPr>
        <w:fldChar w:fldCharType="begin"/>
      </w:r>
      <w:r w:rsidR="00BA149C" w:rsidRPr="000B5758">
        <w:instrText xml:space="preserve"> TOC \n \h \z \t "Observation,1" </w:instrText>
      </w:r>
      <w:r w:rsidR="00BA149C" w:rsidRPr="000B5758">
        <w:rPr>
          <w:rFonts w:eastAsia="Malgun Gothic" w:cstheme="minorHAnsi"/>
          <w:noProof/>
          <w:lang w:val="en-US" w:eastAsia="en-US"/>
        </w:rPr>
        <w:fldChar w:fldCharType="separate"/>
      </w:r>
    </w:p>
    <w:p w14:paraId="2EDA8A2A" w14:textId="5F9F5FE4" w:rsidR="004831BB" w:rsidRDefault="004831BB">
      <w:pPr>
        <w:pStyle w:val="TOC1"/>
        <w:rPr>
          <w:rFonts w:eastAsiaTheme="minorEastAsia" w:cstheme="minorBidi"/>
          <w:b w:val="0"/>
          <w:sz w:val="22"/>
          <w:szCs w:val="22"/>
          <w:lang w:eastAsia="zh-TW"/>
        </w:rPr>
      </w:pPr>
      <w:hyperlink w:anchor="_Toc47693127" w:history="1">
        <w:r w:rsidRPr="00AE34B5">
          <w:rPr>
            <w:rStyle w:val="Hyperlink"/>
          </w:rPr>
          <w:t>Observation 1</w:t>
        </w:r>
        <w:r>
          <w:rPr>
            <w:rFonts w:eastAsiaTheme="minorEastAsia" w:cstheme="minorBidi"/>
            <w:b w:val="0"/>
            <w:sz w:val="22"/>
            <w:szCs w:val="22"/>
            <w:lang w:eastAsia="zh-TW"/>
          </w:rPr>
          <w:tab/>
        </w:r>
        <w:r w:rsidRPr="00AE34B5">
          <w:rPr>
            <w:rStyle w:val="Hyperlink"/>
          </w:rPr>
          <w:t>The maximum number of smtc windows in Rel-16 NR may not support SSB measurement caused by propagation delay difference between satellites.</w:t>
        </w:r>
      </w:hyperlink>
    </w:p>
    <w:p w14:paraId="32FB1D64" w14:textId="79B7888E" w:rsidR="00BA149C" w:rsidRPr="00BA149C" w:rsidRDefault="00BA149C" w:rsidP="00BA149C">
      <w:pPr>
        <w:pStyle w:val="TOC1"/>
        <w:ind w:left="0" w:firstLine="0"/>
        <w:rPr>
          <w:b w:val="0"/>
          <w:bCs/>
          <w:lang w:eastAsia="zh-TW"/>
        </w:rPr>
      </w:pPr>
      <w:r w:rsidRPr="000B5758">
        <w:rPr>
          <w:b w:val="0"/>
        </w:rPr>
        <w:fldChar w:fldCharType="end"/>
      </w:r>
      <w:r w:rsidRPr="00BA149C">
        <w:rPr>
          <w:b w:val="0"/>
          <w:bCs/>
        </w:rPr>
        <w:t xml:space="preserve">Based on these observations, we </w:t>
      </w:r>
      <w:r w:rsidR="00FD78E5">
        <w:rPr>
          <w:b w:val="0"/>
          <w:bCs/>
        </w:rPr>
        <w:t>have the following</w:t>
      </w:r>
      <w:r w:rsidRPr="00BA149C">
        <w:rPr>
          <w:b w:val="0"/>
          <w:bCs/>
        </w:rPr>
        <w:t xml:space="preserve"> propos</w:t>
      </w:r>
      <w:r w:rsidR="00FD78E5">
        <w:rPr>
          <w:b w:val="0"/>
          <w:bCs/>
        </w:rPr>
        <w:t>als</w:t>
      </w:r>
    </w:p>
    <w:p w14:paraId="3E4CFF10" w14:textId="17AA3529" w:rsidR="004831BB" w:rsidRDefault="005B1DDB">
      <w:pPr>
        <w:pStyle w:val="TOC1"/>
        <w:rPr>
          <w:rFonts w:eastAsiaTheme="minorEastAsia" w:cstheme="minorBidi"/>
          <w:b w:val="0"/>
          <w:sz w:val="22"/>
          <w:szCs w:val="22"/>
          <w:lang w:eastAsia="zh-TW"/>
        </w:rPr>
      </w:pPr>
      <w:r>
        <w:fldChar w:fldCharType="begin"/>
      </w:r>
      <w:r>
        <w:instrText xml:space="preserve"> TOC \n \h \z \t "Proposal,1" </w:instrText>
      </w:r>
      <w:r>
        <w:fldChar w:fldCharType="separate"/>
      </w:r>
      <w:hyperlink w:anchor="_Toc47693130" w:history="1">
        <w:r w:rsidR="004831BB" w:rsidRPr="00105600">
          <w:rPr>
            <w:rStyle w:val="Hyperlink"/>
          </w:rPr>
          <w:t>Proposal 1</w:t>
        </w:r>
        <w:r w:rsidR="004831BB">
          <w:rPr>
            <w:rFonts w:eastAsiaTheme="minorEastAsia" w:cstheme="minorBidi"/>
            <w:b w:val="0"/>
            <w:sz w:val="22"/>
            <w:szCs w:val="22"/>
            <w:lang w:eastAsia="zh-TW"/>
          </w:rPr>
          <w:tab/>
        </w:r>
        <w:r w:rsidR="004831BB" w:rsidRPr="00105600">
          <w:rPr>
            <w:rStyle w:val="Hyperlink"/>
          </w:rPr>
          <w:t>To address propagation delay difference between satellites, enhancement on SFTD measurement shall be considered in Rel-17 NTN.</w:t>
        </w:r>
      </w:hyperlink>
    </w:p>
    <w:p w14:paraId="3A7C378F" w14:textId="484F3647" w:rsidR="005B1DDB" w:rsidRDefault="004831BB" w:rsidP="00E728F3">
      <w:pPr>
        <w:pStyle w:val="TOC1"/>
      </w:pPr>
      <w:hyperlink w:anchor="_Toc47693131" w:history="1">
        <w:r w:rsidRPr="00105600">
          <w:rPr>
            <w:rStyle w:val="Hyperlink"/>
          </w:rPr>
          <w:t>Proposal 2</w:t>
        </w:r>
        <w:r>
          <w:rPr>
            <w:rFonts w:eastAsiaTheme="minorEastAsia" w:cstheme="minorBidi"/>
            <w:b w:val="0"/>
            <w:sz w:val="22"/>
            <w:szCs w:val="22"/>
            <w:lang w:eastAsia="zh-TW"/>
          </w:rPr>
          <w:tab/>
        </w:r>
        <w:r w:rsidRPr="00105600">
          <w:rPr>
            <w:rStyle w:val="Hyperlink"/>
          </w:rPr>
          <w:t>To increase the maximum number of smtc windows that can be configured per frequency to a value greater than 2 shall be considered in Rel-17 NTN.</w:t>
        </w:r>
      </w:hyperlink>
      <w:r w:rsidR="005B1DDB">
        <w:fldChar w:fldCharType="end"/>
      </w:r>
    </w:p>
    <w:p w14:paraId="53C87396" w14:textId="71E500A7" w:rsidR="000B5758" w:rsidRDefault="00FA106B" w:rsidP="00644835">
      <w:pPr>
        <w:pStyle w:val="Heading1"/>
        <w:snapToGrid w:val="0"/>
        <w:jc w:val="both"/>
      </w:pPr>
      <w:r>
        <w:t>Reference</w:t>
      </w:r>
    </w:p>
    <w:p w14:paraId="6A91E44B" w14:textId="0FF45D53" w:rsidR="00B60004" w:rsidRPr="00131DA4" w:rsidRDefault="00055F40" w:rsidP="001945D6">
      <w:pPr>
        <w:pStyle w:val="Reference"/>
      </w:pPr>
      <w:bookmarkStart w:id="9" w:name="_Ref9595909"/>
      <w:bookmarkStart w:id="10" w:name="_Ref16874156"/>
      <w:r w:rsidRPr="00055F40">
        <w:rPr>
          <w:rFonts w:cs="Arial"/>
        </w:rPr>
        <w:t>3GPP TR 38.821 V16.0.0</w:t>
      </w:r>
      <w:bookmarkEnd w:id="9"/>
      <w:bookmarkEnd w:id="10"/>
      <w:r>
        <w:rPr>
          <w:rFonts w:cs="Arial"/>
        </w:rPr>
        <w:t xml:space="preserve">, </w:t>
      </w:r>
      <w:r w:rsidRPr="00055F40">
        <w:rPr>
          <w:rFonts w:cs="Arial"/>
        </w:rPr>
        <w:t>Solutions for NR to support non-terrestrial networks</w:t>
      </w:r>
      <w:r>
        <w:rPr>
          <w:rFonts w:cs="Arial"/>
        </w:rPr>
        <w:t>, December 2019.</w:t>
      </w:r>
    </w:p>
    <w:sectPr w:rsidR="00B60004" w:rsidRPr="00131DA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1AFC82" w14:textId="77777777" w:rsidR="003E5F11" w:rsidRDefault="003E5F11" w:rsidP="0063297B">
      <w:pPr>
        <w:spacing w:after="0"/>
      </w:pPr>
      <w:r>
        <w:separator/>
      </w:r>
    </w:p>
  </w:endnote>
  <w:endnote w:type="continuationSeparator" w:id="0">
    <w:p w14:paraId="1C82E80B" w14:textId="77777777" w:rsidR="003E5F11" w:rsidRDefault="003E5F11" w:rsidP="006329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s²Ó©úÅé"/>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55B25C" w14:textId="77777777" w:rsidR="003E5F11" w:rsidRDefault="003E5F11" w:rsidP="0063297B">
      <w:pPr>
        <w:spacing w:after="0"/>
      </w:pPr>
      <w:r>
        <w:separator/>
      </w:r>
    </w:p>
  </w:footnote>
  <w:footnote w:type="continuationSeparator" w:id="0">
    <w:p w14:paraId="3144650D" w14:textId="77777777" w:rsidR="003E5F11" w:rsidRDefault="003E5F11" w:rsidP="006329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831CDE"/>
    <w:multiLevelType w:val="hybridMultilevel"/>
    <w:tmpl w:val="4B86A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51333"/>
    <w:multiLevelType w:val="hybridMultilevel"/>
    <w:tmpl w:val="64127F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AE7CCC"/>
    <w:multiLevelType w:val="hybridMultilevel"/>
    <w:tmpl w:val="A5DC9C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A27D64"/>
    <w:multiLevelType w:val="hybridMultilevel"/>
    <w:tmpl w:val="81DA1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E20BAB"/>
    <w:multiLevelType w:val="hybridMultilevel"/>
    <w:tmpl w:val="9EAA6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6D403D8"/>
    <w:multiLevelType w:val="hybridMultilevel"/>
    <w:tmpl w:val="EE98D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8D7205A"/>
    <w:multiLevelType w:val="hybridMultilevel"/>
    <w:tmpl w:val="8C1E01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9BE346A"/>
    <w:multiLevelType w:val="hybridMultilevel"/>
    <w:tmpl w:val="E46EE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456E67"/>
    <w:multiLevelType w:val="hybridMultilevel"/>
    <w:tmpl w:val="54E2F49A"/>
    <w:lvl w:ilvl="0" w:tplc="04090001">
      <w:start w:val="1"/>
      <w:numFmt w:val="bullet"/>
      <w:lvlText w:val=""/>
      <w:lvlJc w:val="left"/>
      <w:pPr>
        <w:ind w:left="720" w:hanging="360"/>
      </w:pPr>
      <w:rPr>
        <w:rFonts w:ascii="Symbol" w:hAnsi="Symbol" w:hint="default"/>
      </w:rPr>
    </w:lvl>
    <w:lvl w:ilvl="1" w:tplc="5BA678EC">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DB583F"/>
    <w:multiLevelType w:val="hybridMultilevel"/>
    <w:tmpl w:val="4888DC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5515FF6"/>
    <w:multiLevelType w:val="hybridMultilevel"/>
    <w:tmpl w:val="31EC72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5974607"/>
    <w:multiLevelType w:val="hybridMultilevel"/>
    <w:tmpl w:val="00E2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FF214D"/>
    <w:multiLevelType w:val="hybridMultilevel"/>
    <w:tmpl w:val="79E265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5E3FA9"/>
    <w:multiLevelType w:val="hybridMultilevel"/>
    <w:tmpl w:val="FD86B1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E6C2F23"/>
    <w:multiLevelType w:val="hybridMultilevel"/>
    <w:tmpl w:val="FADA0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E27C9"/>
    <w:multiLevelType w:val="hybridMultilevel"/>
    <w:tmpl w:val="357412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3843C5"/>
    <w:multiLevelType w:val="multilevel"/>
    <w:tmpl w:val="5510D92A"/>
    <w:lvl w:ilvl="0">
      <w:start w:val="1"/>
      <w:numFmt w:val="bullet"/>
      <w:lvlText w:val=""/>
      <w:lvlJc w:val="left"/>
      <w:pPr>
        <w:ind w:left="72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9"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20" w15:restartNumberingAfterBreak="0">
    <w:nsid w:val="44315140"/>
    <w:multiLevelType w:val="hybridMultilevel"/>
    <w:tmpl w:val="B082E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926ADC"/>
    <w:multiLevelType w:val="hybridMultilevel"/>
    <w:tmpl w:val="1BC00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4A6D27"/>
    <w:multiLevelType w:val="hybridMultilevel"/>
    <w:tmpl w:val="71F2E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F904E7"/>
    <w:multiLevelType w:val="hybridMultilevel"/>
    <w:tmpl w:val="5D6A0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588088AA"/>
    <w:lvl w:ilvl="0" w:tplc="70365E8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8D0A6E"/>
    <w:multiLevelType w:val="hybridMultilevel"/>
    <w:tmpl w:val="82AC95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ECB6D10"/>
    <w:multiLevelType w:val="multilevel"/>
    <w:tmpl w:val="5510D92A"/>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7917B27"/>
    <w:multiLevelType w:val="hybridMultilevel"/>
    <w:tmpl w:val="736C80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AD67334"/>
    <w:multiLevelType w:val="hybridMultilevel"/>
    <w:tmpl w:val="C138F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B91255"/>
    <w:multiLevelType w:val="hybridMultilevel"/>
    <w:tmpl w:val="29B21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CC5FC7"/>
    <w:multiLevelType w:val="hybridMultilevel"/>
    <w:tmpl w:val="4D284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14158F"/>
    <w:multiLevelType w:val="hybridMultilevel"/>
    <w:tmpl w:val="6E0889D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361211"/>
    <w:multiLevelType w:val="hybridMultilevel"/>
    <w:tmpl w:val="A8C62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9F45E2"/>
    <w:multiLevelType w:val="hybridMultilevel"/>
    <w:tmpl w:val="791826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0"/>
  </w:num>
  <w:num w:numId="3">
    <w:abstractNumId w:val="27"/>
  </w:num>
  <w:num w:numId="4">
    <w:abstractNumId w:val="13"/>
  </w:num>
  <w:num w:numId="5">
    <w:abstractNumId w:val="0"/>
  </w:num>
  <w:num w:numId="6">
    <w:abstractNumId w:val="6"/>
  </w:num>
  <w:num w:numId="7">
    <w:abstractNumId w:val="19"/>
  </w:num>
  <w:num w:numId="8">
    <w:abstractNumId w:val="24"/>
  </w:num>
  <w:num w:numId="9">
    <w:abstractNumId w:val="28"/>
  </w:num>
  <w:num w:numId="10">
    <w:abstractNumId w:val="21"/>
  </w:num>
  <w:num w:numId="11">
    <w:abstractNumId w:val="20"/>
  </w:num>
  <w:num w:numId="12">
    <w:abstractNumId w:val="22"/>
  </w:num>
  <w:num w:numId="13">
    <w:abstractNumId w:val="11"/>
  </w:num>
  <w:num w:numId="14">
    <w:abstractNumId w:val="2"/>
  </w:num>
  <w:num w:numId="15">
    <w:abstractNumId w:val="7"/>
  </w:num>
  <w:num w:numId="16">
    <w:abstractNumId w:val="3"/>
  </w:num>
  <w:num w:numId="17">
    <w:abstractNumId w:val="12"/>
  </w:num>
  <w:num w:numId="18">
    <w:abstractNumId w:val="31"/>
  </w:num>
  <w:num w:numId="19">
    <w:abstractNumId w:val="14"/>
  </w:num>
  <w:num w:numId="20">
    <w:abstractNumId w:val="29"/>
  </w:num>
  <w:num w:numId="21">
    <w:abstractNumId w:val="23"/>
  </w:num>
  <w:num w:numId="22">
    <w:abstractNumId w:val="30"/>
  </w:num>
  <w:num w:numId="23">
    <w:abstractNumId w:val="16"/>
  </w:num>
  <w:num w:numId="24">
    <w:abstractNumId w:val="32"/>
  </w:num>
  <w:num w:numId="25">
    <w:abstractNumId w:val="1"/>
  </w:num>
  <w:num w:numId="26">
    <w:abstractNumId w:val="5"/>
  </w:num>
  <w:num w:numId="27">
    <w:abstractNumId w:val="9"/>
  </w:num>
  <w:num w:numId="28">
    <w:abstractNumId w:val="26"/>
  </w:num>
  <w:num w:numId="29">
    <w:abstractNumId w:val="18"/>
  </w:num>
  <w:num w:numId="30">
    <w:abstractNumId w:val="4"/>
  </w:num>
  <w:num w:numId="31">
    <w:abstractNumId w:val="25"/>
  </w:num>
  <w:num w:numId="32">
    <w:abstractNumId w:val="17"/>
  </w:num>
  <w:num w:numId="33">
    <w:abstractNumId w:val="33"/>
  </w:num>
  <w:num w:numId="34">
    <w:abstractNumId w:val="8"/>
  </w:num>
  <w:num w:numId="35">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mwNKoFAG9ptFUtAAAA"/>
  </w:docVars>
  <w:rsids>
    <w:rsidRoot w:val="006A4A78"/>
    <w:rsid w:val="00000FA6"/>
    <w:rsid w:val="00004A2B"/>
    <w:rsid w:val="00004E8F"/>
    <w:rsid w:val="00011505"/>
    <w:rsid w:val="000164F1"/>
    <w:rsid w:val="000222B7"/>
    <w:rsid w:val="00030062"/>
    <w:rsid w:val="000305CD"/>
    <w:rsid w:val="0003330B"/>
    <w:rsid w:val="00040844"/>
    <w:rsid w:val="000421CD"/>
    <w:rsid w:val="000436CD"/>
    <w:rsid w:val="000537D6"/>
    <w:rsid w:val="00055F40"/>
    <w:rsid w:val="00060D85"/>
    <w:rsid w:val="000641E0"/>
    <w:rsid w:val="00065F28"/>
    <w:rsid w:val="0006645F"/>
    <w:rsid w:val="000710A5"/>
    <w:rsid w:val="000765E8"/>
    <w:rsid w:val="000877E2"/>
    <w:rsid w:val="00087FF4"/>
    <w:rsid w:val="00090CC3"/>
    <w:rsid w:val="00090D23"/>
    <w:rsid w:val="00092147"/>
    <w:rsid w:val="00092C12"/>
    <w:rsid w:val="00093E4D"/>
    <w:rsid w:val="000A05A9"/>
    <w:rsid w:val="000A27C5"/>
    <w:rsid w:val="000A6C7A"/>
    <w:rsid w:val="000A72BB"/>
    <w:rsid w:val="000B11D8"/>
    <w:rsid w:val="000B31C4"/>
    <w:rsid w:val="000B5758"/>
    <w:rsid w:val="000B7A02"/>
    <w:rsid w:val="000C4A32"/>
    <w:rsid w:val="000C5587"/>
    <w:rsid w:val="000D436E"/>
    <w:rsid w:val="000E09B3"/>
    <w:rsid w:val="000E27E3"/>
    <w:rsid w:val="000F1DC9"/>
    <w:rsid w:val="000F27B9"/>
    <w:rsid w:val="000F2C86"/>
    <w:rsid w:val="00100FD3"/>
    <w:rsid w:val="00102528"/>
    <w:rsid w:val="001032BE"/>
    <w:rsid w:val="001118DC"/>
    <w:rsid w:val="00120364"/>
    <w:rsid w:val="00121950"/>
    <w:rsid w:val="00121AA9"/>
    <w:rsid w:val="0012473C"/>
    <w:rsid w:val="001255FC"/>
    <w:rsid w:val="00130D59"/>
    <w:rsid w:val="00131DA4"/>
    <w:rsid w:val="001343EC"/>
    <w:rsid w:val="001350CC"/>
    <w:rsid w:val="00140508"/>
    <w:rsid w:val="00140D47"/>
    <w:rsid w:val="001411CA"/>
    <w:rsid w:val="00141AC6"/>
    <w:rsid w:val="00142170"/>
    <w:rsid w:val="00145DDD"/>
    <w:rsid w:val="0014683C"/>
    <w:rsid w:val="0014756E"/>
    <w:rsid w:val="00150043"/>
    <w:rsid w:val="00151886"/>
    <w:rsid w:val="00151E0B"/>
    <w:rsid w:val="00156C58"/>
    <w:rsid w:val="00164F50"/>
    <w:rsid w:val="00171803"/>
    <w:rsid w:val="00174C28"/>
    <w:rsid w:val="00175DBA"/>
    <w:rsid w:val="0017744C"/>
    <w:rsid w:val="00184890"/>
    <w:rsid w:val="00184BB8"/>
    <w:rsid w:val="0019033F"/>
    <w:rsid w:val="00193A3E"/>
    <w:rsid w:val="001945D6"/>
    <w:rsid w:val="001946A6"/>
    <w:rsid w:val="00196E45"/>
    <w:rsid w:val="001974BD"/>
    <w:rsid w:val="001B4136"/>
    <w:rsid w:val="001B4DAE"/>
    <w:rsid w:val="001B515B"/>
    <w:rsid w:val="001C04A9"/>
    <w:rsid w:val="001C410A"/>
    <w:rsid w:val="001C58A5"/>
    <w:rsid w:val="001C7E73"/>
    <w:rsid w:val="001D0914"/>
    <w:rsid w:val="001D4A6B"/>
    <w:rsid w:val="001D6C31"/>
    <w:rsid w:val="001D7D48"/>
    <w:rsid w:val="001E2038"/>
    <w:rsid w:val="001E3E19"/>
    <w:rsid w:val="001E52CF"/>
    <w:rsid w:val="001E5E12"/>
    <w:rsid w:val="001F4CAD"/>
    <w:rsid w:val="00200849"/>
    <w:rsid w:val="002040A5"/>
    <w:rsid w:val="00211E96"/>
    <w:rsid w:val="00213ECA"/>
    <w:rsid w:val="0021555A"/>
    <w:rsid w:val="00217B35"/>
    <w:rsid w:val="002241DA"/>
    <w:rsid w:val="00225128"/>
    <w:rsid w:val="00226600"/>
    <w:rsid w:val="002270CB"/>
    <w:rsid w:val="002409BC"/>
    <w:rsid w:val="00244EF7"/>
    <w:rsid w:val="00251AA6"/>
    <w:rsid w:val="0026147C"/>
    <w:rsid w:val="00265BC6"/>
    <w:rsid w:val="00266699"/>
    <w:rsid w:val="00272612"/>
    <w:rsid w:val="00272CD0"/>
    <w:rsid w:val="002753CB"/>
    <w:rsid w:val="00277ED8"/>
    <w:rsid w:val="00282A28"/>
    <w:rsid w:val="0028348F"/>
    <w:rsid w:val="00283B47"/>
    <w:rsid w:val="00283DA5"/>
    <w:rsid w:val="00290D43"/>
    <w:rsid w:val="00292790"/>
    <w:rsid w:val="00292A1A"/>
    <w:rsid w:val="0029349D"/>
    <w:rsid w:val="002A1292"/>
    <w:rsid w:val="002A1A42"/>
    <w:rsid w:val="002A1C4F"/>
    <w:rsid w:val="002A4692"/>
    <w:rsid w:val="002A48BD"/>
    <w:rsid w:val="002B4821"/>
    <w:rsid w:val="002B48CB"/>
    <w:rsid w:val="002B6795"/>
    <w:rsid w:val="002C1440"/>
    <w:rsid w:val="002C4EF6"/>
    <w:rsid w:val="002D0A11"/>
    <w:rsid w:val="002D1055"/>
    <w:rsid w:val="002E3D41"/>
    <w:rsid w:val="002F15A9"/>
    <w:rsid w:val="002F1BD5"/>
    <w:rsid w:val="002F4CE6"/>
    <w:rsid w:val="00303F1A"/>
    <w:rsid w:val="00306D3F"/>
    <w:rsid w:val="00306FC1"/>
    <w:rsid w:val="003102DB"/>
    <w:rsid w:val="00311FC9"/>
    <w:rsid w:val="0031408C"/>
    <w:rsid w:val="003211BF"/>
    <w:rsid w:val="00332483"/>
    <w:rsid w:val="00337856"/>
    <w:rsid w:val="00337EC7"/>
    <w:rsid w:val="00340930"/>
    <w:rsid w:val="00340A5E"/>
    <w:rsid w:val="00340E36"/>
    <w:rsid w:val="00346ED1"/>
    <w:rsid w:val="003503FC"/>
    <w:rsid w:val="00355897"/>
    <w:rsid w:val="00357483"/>
    <w:rsid w:val="0036258E"/>
    <w:rsid w:val="00362A8A"/>
    <w:rsid w:val="00362BCF"/>
    <w:rsid w:val="00370BCE"/>
    <w:rsid w:val="00370FF3"/>
    <w:rsid w:val="00372381"/>
    <w:rsid w:val="00373A3F"/>
    <w:rsid w:val="00375A17"/>
    <w:rsid w:val="00377537"/>
    <w:rsid w:val="0038162C"/>
    <w:rsid w:val="00384E37"/>
    <w:rsid w:val="00387A01"/>
    <w:rsid w:val="0039336A"/>
    <w:rsid w:val="003975BA"/>
    <w:rsid w:val="003A0843"/>
    <w:rsid w:val="003A244E"/>
    <w:rsid w:val="003A527A"/>
    <w:rsid w:val="003A666D"/>
    <w:rsid w:val="003A6CFF"/>
    <w:rsid w:val="003B107F"/>
    <w:rsid w:val="003C13D5"/>
    <w:rsid w:val="003C1C03"/>
    <w:rsid w:val="003C26EB"/>
    <w:rsid w:val="003D035E"/>
    <w:rsid w:val="003D30D6"/>
    <w:rsid w:val="003D6209"/>
    <w:rsid w:val="003D71D7"/>
    <w:rsid w:val="003E009E"/>
    <w:rsid w:val="003E49D6"/>
    <w:rsid w:val="003E54CD"/>
    <w:rsid w:val="003E5F11"/>
    <w:rsid w:val="003F4247"/>
    <w:rsid w:val="00405441"/>
    <w:rsid w:val="00410971"/>
    <w:rsid w:val="00413D5C"/>
    <w:rsid w:val="004171CF"/>
    <w:rsid w:val="00420264"/>
    <w:rsid w:val="00425C93"/>
    <w:rsid w:val="00425F92"/>
    <w:rsid w:val="0042691F"/>
    <w:rsid w:val="0042740D"/>
    <w:rsid w:val="00427437"/>
    <w:rsid w:val="00431CDC"/>
    <w:rsid w:val="00432CCD"/>
    <w:rsid w:val="00437745"/>
    <w:rsid w:val="00441C9E"/>
    <w:rsid w:val="004439C8"/>
    <w:rsid w:val="00444A3E"/>
    <w:rsid w:val="00445A29"/>
    <w:rsid w:val="00447C4B"/>
    <w:rsid w:val="00454E41"/>
    <w:rsid w:val="00456894"/>
    <w:rsid w:val="00457B2A"/>
    <w:rsid w:val="0046028C"/>
    <w:rsid w:val="00460688"/>
    <w:rsid w:val="00460C5A"/>
    <w:rsid w:val="00464515"/>
    <w:rsid w:val="004660F0"/>
    <w:rsid w:val="00474D26"/>
    <w:rsid w:val="00475340"/>
    <w:rsid w:val="0047641F"/>
    <w:rsid w:val="00480574"/>
    <w:rsid w:val="00482E98"/>
    <w:rsid w:val="004831BB"/>
    <w:rsid w:val="004964CD"/>
    <w:rsid w:val="004A0649"/>
    <w:rsid w:val="004A067C"/>
    <w:rsid w:val="004A40FE"/>
    <w:rsid w:val="004B2DB2"/>
    <w:rsid w:val="004B462B"/>
    <w:rsid w:val="004B72F3"/>
    <w:rsid w:val="004B747E"/>
    <w:rsid w:val="004C2EBF"/>
    <w:rsid w:val="004C688C"/>
    <w:rsid w:val="004D4E24"/>
    <w:rsid w:val="004D5B34"/>
    <w:rsid w:val="004D5E5A"/>
    <w:rsid w:val="004D6280"/>
    <w:rsid w:val="004D6C28"/>
    <w:rsid w:val="004D7A67"/>
    <w:rsid w:val="004E115A"/>
    <w:rsid w:val="004E3848"/>
    <w:rsid w:val="004E61D7"/>
    <w:rsid w:val="004F5591"/>
    <w:rsid w:val="004F5C1E"/>
    <w:rsid w:val="00500A75"/>
    <w:rsid w:val="00503526"/>
    <w:rsid w:val="005055AF"/>
    <w:rsid w:val="00512877"/>
    <w:rsid w:val="005225DB"/>
    <w:rsid w:val="00522BF1"/>
    <w:rsid w:val="00533B6B"/>
    <w:rsid w:val="00533C06"/>
    <w:rsid w:val="00534496"/>
    <w:rsid w:val="00535AFB"/>
    <w:rsid w:val="00540DA1"/>
    <w:rsid w:val="0055061B"/>
    <w:rsid w:val="005514A9"/>
    <w:rsid w:val="00552805"/>
    <w:rsid w:val="0055286A"/>
    <w:rsid w:val="00553D6C"/>
    <w:rsid w:val="00556EA5"/>
    <w:rsid w:val="00557C1B"/>
    <w:rsid w:val="005643DD"/>
    <w:rsid w:val="00564A21"/>
    <w:rsid w:val="005718A0"/>
    <w:rsid w:val="0057520F"/>
    <w:rsid w:val="00575D10"/>
    <w:rsid w:val="005779ED"/>
    <w:rsid w:val="00582423"/>
    <w:rsid w:val="00583232"/>
    <w:rsid w:val="00587BF9"/>
    <w:rsid w:val="00595E68"/>
    <w:rsid w:val="00597063"/>
    <w:rsid w:val="0059772B"/>
    <w:rsid w:val="005A024C"/>
    <w:rsid w:val="005A2F7F"/>
    <w:rsid w:val="005A3609"/>
    <w:rsid w:val="005A3BA9"/>
    <w:rsid w:val="005A470C"/>
    <w:rsid w:val="005A7208"/>
    <w:rsid w:val="005B1DDB"/>
    <w:rsid w:val="005B2BFB"/>
    <w:rsid w:val="005B3BEC"/>
    <w:rsid w:val="005B48F8"/>
    <w:rsid w:val="005B4FDE"/>
    <w:rsid w:val="005B682D"/>
    <w:rsid w:val="005B7F3C"/>
    <w:rsid w:val="005C11C5"/>
    <w:rsid w:val="005C3210"/>
    <w:rsid w:val="005D0A0F"/>
    <w:rsid w:val="005D31EF"/>
    <w:rsid w:val="005D3E2C"/>
    <w:rsid w:val="005D6242"/>
    <w:rsid w:val="005D701E"/>
    <w:rsid w:val="005E1F4B"/>
    <w:rsid w:val="005E507B"/>
    <w:rsid w:val="005E5795"/>
    <w:rsid w:val="005E60B7"/>
    <w:rsid w:val="005E7CBA"/>
    <w:rsid w:val="005F5B9E"/>
    <w:rsid w:val="005F757D"/>
    <w:rsid w:val="006021F8"/>
    <w:rsid w:val="006032B2"/>
    <w:rsid w:val="00607499"/>
    <w:rsid w:val="006147C9"/>
    <w:rsid w:val="00614C28"/>
    <w:rsid w:val="00615999"/>
    <w:rsid w:val="006226AC"/>
    <w:rsid w:val="006257A0"/>
    <w:rsid w:val="006300A6"/>
    <w:rsid w:val="0063297B"/>
    <w:rsid w:val="006332F3"/>
    <w:rsid w:val="00636D01"/>
    <w:rsid w:val="006402AA"/>
    <w:rsid w:val="00641823"/>
    <w:rsid w:val="00642466"/>
    <w:rsid w:val="00642B9C"/>
    <w:rsid w:val="00644835"/>
    <w:rsid w:val="00645202"/>
    <w:rsid w:val="00650F0D"/>
    <w:rsid w:val="00651F58"/>
    <w:rsid w:val="0065285D"/>
    <w:rsid w:val="00656425"/>
    <w:rsid w:val="00662F9A"/>
    <w:rsid w:val="00662FC7"/>
    <w:rsid w:val="00663591"/>
    <w:rsid w:val="00665020"/>
    <w:rsid w:val="006714EF"/>
    <w:rsid w:val="00676540"/>
    <w:rsid w:val="006776A9"/>
    <w:rsid w:val="00681C40"/>
    <w:rsid w:val="006832B4"/>
    <w:rsid w:val="00683624"/>
    <w:rsid w:val="006873C3"/>
    <w:rsid w:val="00691992"/>
    <w:rsid w:val="00692027"/>
    <w:rsid w:val="006948BE"/>
    <w:rsid w:val="006A03ED"/>
    <w:rsid w:val="006A4A78"/>
    <w:rsid w:val="006A65F5"/>
    <w:rsid w:val="006A6ECE"/>
    <w:rsid w:val="006B13F0"/>
    <w:rsid w:val="006B14E1"/>
    <w:rsid w:val="006B40C4"/>
    <w:rsid w:val="006B76D5"/>
    <w:rsid w:val="006C378D"/>
    <w:rsid w:val="006C627A"/>
    <w:rsid w:val="006C78EA"/>
    <w:rsid w:val="006E729C"/>
    <w:rsid w:val="006F0C0C"/>
    <w:rsid w:val="006F2A6B"/>
    <w:rsid w:val="007041E8"/>
    <w:rsid w:val="00704522"/>
    <w:rsid w:val="007112C0"/>
    <w:rsid w:val="00711DDA"/>
    <w:rsid w:val="00712CB4"/>
    <w:rsid w:val="00714DA9"/>
    <w:rsid w:val="00721143"/>
    <w:rsid w:val="007213CA"/>
    <w:rsid w:val="007220C1"/>
    <w:rsid w:val="00723DB2"/>
    <w:rsid w:val="0072465B"/>
    <w:rsid w:val="00724BA4"/>
    <w:rsid w:val="00725FE1"/>
    <w:rsid w:val="00726351"/>
    <w:rsid w:val="007307A2"/>
    <w:rsid w:val="00733F14"/>
    <w:rsid w:val="0073595F"/>
    <w:rsid w:val="00741F9B"/>
    <w:rsid w:val="007461F0"/>
    <w:rsid w:val="00752DE6"/>
    <w:rsid w:val="00755B4F"/>
    <w:rsid w:val="00763F72"/>
    <w:rsid w:val="00765DD3"/>
    <w:rsid w:val="00771943"/>
    <w:rsid w:val="00782615"/>
    <w:rsid w:val="007848ED"/>
    <w:rsid w:val="00790E9B"/>
    <w:rsid w:val="00792907"/>
    <w:rsid w:val="0079355F"/>
    <w:rsid w:val="007A3170"/>
    <w:rsid w:val="007A345D"/>
    <w:rsid w:val="007A78CA"/>
    <w:rsid w:val="007B59EC"/>
    <w:rsid w:val="007B731A"/>
    <w:rsid w:val="007C0EB9"/>
    <w:rsid w:val="007C10BC"/>
    <w:rsid w:val="007C1338"/>
    <w:rsid w:val="007C28B2"/>
    <w:rsid w:val="007C5488"/>
    <w:rsid w:val="007C7D76"/>
    <w:rsid w:val="007D05E6"/>
    <w:rsid w:val="007D0E91"/>
    <w:rsid w:val="007D598C"/>
    <w:rsid w:val="007D653E"/>
    <w:rsid w:val="007E038D"/>
    <w:rsid w:val="007E1F66"/>
    <w:rsid w:val="007E6F39"/>
    <w:rsid w:val="007E7AC0"/>
    <w:rsid w:val="007F4CD9"/>
    <w:rsid w:val="00803236"/>
    <w:rsid w:val="00804A43"/>
    <w:rsid w:val="00812BAB"/>
    <w:rsid w:val="00816F22"/>
    <w:rsid w:val="0082650D"/>
    <w:rsid w:val="00836E59"/>
    <w:rsid w:val="0084551F"/>
    <w:rsid w:val="00852937"/>
    <w:rsid w:val="00856A51"/>
    <w:rsid w:val="008572E2"/>
    <w:rsid w:val="00863D40"/>
    <w:rsid w:val="00864E28"/>
    <w:rsid w:val="008673C9"/>
    <w:rsid w:val="00870A95"/>
    <w:rsid w:val="00871C51"/>
    <w:rsid w:val="008817AD"/>
    <w:rsid w:val="0088423C"/>
    <w:rsid w:val="008860DF"/>
    <w:rsid w:val="00886DB9"/>
    <w:rsid w:val="00887A0C"/>
    <w:rsid w:val="00897341"/>
    <w:rsid w:val="008A2480"/>
    <w:rsid w:val="008A2EB9"/>
    <w:rsid w:val="008A3669"/>
    <w:rsid w:val="008A5D4A"/>
    <w:rsid w:val="008B0A71"/>
    <w:rsid w:val="008B40E1"/>
    <w:rsid w:val="008B461D"/>
    <w:rsid w:val="008C23D2"/>
    <w:rsid w:val="008C3DDD"/>
    <w:rsid w:val="008C6885"/>
    <w:rsid w:val="008D0926"/>
    <w:rsid w:val="008D2612"/>
    <w:rsid w:val="008D361B"/>
    <w:rsid w:val="008D36AE"/>
    <w:rsid w:val="008D44F9"/>
    <w:rsid w:val="008E0893"/>
    <w:rsid w:val="008E1D9C"/>
    <w:rsid w:val="008E437B"/>
    <w:rsid w:val="008E461D"/>
    <w:rsid w:val="008E622F"/>
    <w:rsid w:val="008F0C94"/>
    <w:rsid w:val="008F24E5"/>
    <w:rsid w:val="008F382E"/>
    <w:rsid w:val="008F39AD"/>
    <w:rsid w:val="008F4541"/>
    <w:rsid w:val="009026AE"/>
    <w:rsid w:val="00907E2F"/>
    <w:rsid w:val="00907FA2"/>
    <w:rsid w:val="00914ACC"/>
    <w:rsid w:val="00917188"/>
    <w:rsid w:val="00924230"/>
    <w:rsid w:val="009326BD"/>
    <w:rsid w:val="00932935"/>
    <w:rsid w:val="009358FB"/>
    <w:rsid w:val="009418C1"/>
    <w:rsid w:val="009445D8"/>
    <w:rsid w:val="00951C9E"/>
    <w:rsid w:val="00954E8D"/>
    <w:rsid w:val="00955EBD"/>
    <w:rsid w:val="00956C4F"/>
    <w:rsid w:val="009614D3"/>
    <w:rsid w:val="00961C67"/>
    <w:rsid w:val="009660A4"/>
    <w:rsid w:val="00981EAC"/>
    <w:rsid w:val="00986583"/>
    <w:rsid w:val="00986A2B"/>
    <w:rsid w:val="0098759C"/>
    <w:rsid w:val="00992976"/>
    <w:rsid w:val="00992CAF"/>
    <w:rsid w:val="009949C6"/>
    <w:rsid w:val="009A3179"/>
    <w:rsid w:val="009A4DE5"/>
    <w:rsid w:val="009A7AA0"/>
    <w:rsid w:val="009B2A8D"/>
    <w:rsid w:val="009B7587"/>
    <w:rsid w:val="009C2961"/>
    <w:rsid w:val="009C5F1A"/>
    <w:rsid w:val="009C68AE"/>
    <w:rsid w:val="009C7562"/>
    <w:rsid w:val="009D00B9"/>
    <w:rsid w:val="009D112D"/>
    <w:rsid w:val="009D13CA"/>
    <w:rsid w:val="009D3402"/>
    <w:rsid w:val="009E0141"/>
    <w:rsid w:val="009E0CE5"/>
    <w:rsid w:val="009E1AC6"/>
    <w:rsid w:val="009E4823"/>
    <w:rsid w:val="009F0A8A"/>
    <w:rsid w:val="009F1C2E"/>
    <w:rsid w:val="009F5133"/>
    <w:rsid w:val="00A009F1"/>
    <w:rsid w:val="00A04811"/>
    <w:rsid w:val="00A04F94"/>
    <w:rsid w:val="00A06780"/>
    <w:rsid w:val="00A14CCB"/>
    <w:rsid w:val="00A1623E"/>
    <w:rsid w:val="00A164FC"/>
    <w:rsid w:val="00A17747"/>
    <w:rsid w:val="00A23275"/>
    <w:rsid w:val="00A24D74"/>
    <w:rsid w:val="00A33ACF"/>
    <w:rsid w:val="00A34A8B"/>
    <w:rsid w:val="00A42551"/>
    <w:rsid w:val="00A43B24"/>
    <w:rsid w:val="00A45103"/>
    <w:rsid w:val="00A52363"/>
    <w:rsid w:val="00A5352C"/>
    <w:rsid w:val="00A558B4"/>
    <w:rsid w:val="00A573D3"/>
    <w:rsid w:val="00A62ED4"/>
    <w:rsid w:val="00A65475"/>
    <w:rsid w:val="00A81965"/>
    <w:rsid w:val="00A84468"/>
    <w:rsid w:val="00A8486B"/>
    <w:rsid w:val="00A91950"/>
    <w:rsid w:val="00A96C13"/>
    <w:rsid w:val="00AA1DA2"/>
    <w:rsid w:val="00AA45AA"/>
    <w:rsid w:val="00AA609F"/>
    <w:rsid w:val="00AA710B"/>
    <w:rsid w:val="00AB182C"/>
    <w:rsid w:val="00AB4425"/>
    <w:rsid w:val="00AB6061"/>
    <w:rsid w:val="00AB64EA"/>
    <w:rsid w:val="00AB6864"/>
    <w:rsid w:val="00AB707C"/>
    <w:rsid w:val="00AC5B84"/>
    <w:rsid w:val="00AC6BDA"/>
    <w:rsid w:val="00AD1374"/>
    <w:rsid w:val="00AD23D4"/>
    <w:rsid w:val="00AD3910"/>
    <w:rsid w:val="00AD778F"/>
    <w:rsid w:val="00AE6B31"/>
    <w:rsid w:val="00AF3589"/>
    <w:rsid w:val="00AF44C1"/>
    <w:rsid w:val="00AF4BC0"/>
    <w:rsid w:val="00AF5CB8"/>
    <w:rsid w:val="00AF6F22"/>
    <w:rsid w:val="00B0014B"/>
    <w:rsid w:val="00B00928"/>
    <w:rsid w:val="00B06526"/>
    <w:rsid w:val="00B06705"/>
    <w:rsid w:val="00B10D68"/>
    <w:rsid w:val="00B10DAE"/>
    <w:rsid w:val="00B12B17"/>
    <w:rsid w:val="00B170E9"/>
    <w:rsid w:val="00B20FEC"/>
    <w:rsid w:val="00B2230B"/>
    <w:rsid w:val="00B227C6"/>
    <w:rsid w:val="00B238C0"/>
    <w:rsid w:val="00B26577"/>
    <w:rsid w:val="00B26F33"/>
    <w:rsid w:val="00B31BAD"/>
    <w:rsid w:val="00B32BAA"/>
    <w:rsid w:val="00B33891"/>
    <w:rsid w:val="00B35EB1"/>
    <w:rsid w:val="00B35F3E"/>
    <w:rsid w:val="00B41E37"/>
    <w:rsid w:val="00B446D3"/>
    <w:rsid w:val="00B44D9A"/>
    <w:rsid w:val="00B45E08"/>
    <w:rsid w:val="00B46003"/>
    <w:rsid w:val="00B47132"/>
    <w:rsid w:val="00B475E8"/>
    <w:rsid w:val="00B50F4F"/>
    <w:rsid w:val="00B56D23"/>
    <w:rsid w:val="00B577F7"/>
    <w:rsid w:val="00B60004"/>
    <w:rsid w:val="00B61D94"/>
    <w:rsid w:val="00B63913"/>
    <w:rsid w:val="00B709AC"/>
    <w:rsid w:val="00B7161A"/>
    <w:rsid w:val="00B74A82"/>
    <w:rsid w:val="00B77646"/>
    <w:rsid w:val="00B80882"/>
    <w:rsid w:val="00B85C4E"/>
    <w:rsid w:val="00B926CE"/>
    <w:rsid w:val="00B92E0B"/>
    <w:rsid w:val="00BA149C"/>
    <w:rsid w:val="00BA17F7"/>
    <w:rsid w:val="00BA181B"/>
    <w:rsid w:val="00BA6154"/>
    <w:rsid w:val="00BA7380"/>
    <w:rsid w:val="00BB0155"/>
    <w:rsid w:val="00BB36D3"/>
    <w:rsid w:val="00BB62E1"/>
    <w:rsid w:val="00BB69A0"/>
    <w:rsid w:val="00BC039A"/>
    <w:rsid w:val="00BC0ACC"/>
    <w:rsid w:val="00BC23CB"/>
    <w:rsid w:val="00BC5100"/>
    <w:rsid w:val="00BC5EAD"/>
    <w:rsid w:val="00BD421B"/>
    <w:rsid w:val="00BD6CB4"/>
    <w:rsid w:val="00BD7926"/>
    <w:rsid w:val="00BE3C4C"/>
    <w:rsid w:val="00BF1025"/>
    <w:rsid w:val="00BF176B"/>
    <w:rsid w:val="00BF2A10"/>
    <w:rsid w:val="00C04FDA"/>
    <w:rsid w:val="00C061B8"/>
    <w:rsid w:val="00C12179"/>
    <w:rsid w:val="00C12B3A"/>
    <w:rsid w:val="00C144FF"/>
    <w:rsid w:val="00C14A92"/>
    <w:rsid w:val="00C1663D"/>
    <w:rsid w:val="00C20004"/>
    <w:rsid w:val="00C218FC"/>
    <w:rsid w:val="00C3266C"/>
    <w:rsid w:val="00C37D56"/>
    <w:rsid w:val="00C41981"/>
    <w:rsid w:val="00C43099"/>
    <w:rsid w:val="00C4314A"/>
    <w:rsid w:val="00C52F31"/>
    <w:rsid w:val="00C5503B"/>
    <w:rsid w:val="00C61BE4"/>
    <w:rsid w:val="00C73FCA"/>
    <w:rsid w:val="00C77EE0"/>
    <w:rsid w:val="00C84650"/>
    <w:rsid w:val="00C86D97"/>
    <w:rsid w:val="00C875EB"/>
    <w:rsid w:val="00C9043D"/>
    <w:rsid w:val="00C92BFE"/>
    <w:rsid w:val="00CA2A35"/>
    <w:rsid w:val="00CA65C9"/>
    <w:rsid w:val="00CA6D68"/>
    <w:rsid w:val="00CB001F"/>
    <w:rsid w:val="00CB245F"/>
    <w:rsid w:val="00CB7FD6"/>
    <w:rsid w:val="00CC278A"/>
    <w:rsid w:val="00CC2862"/>
    <w:rsid w:val="00CC5CBC"/>
    <w:rsid w:val="00CC6AC9"/>
    <w:rsid w:val="00CF2030"/>
    <w:rsid w:val="00CF211D"/>
    <w:rsid w:val="00CF2D92"/>
    <w:rsid w:val="00CF79EA"/>
    <w:rsid w:val="00D02527"/>
    <w:rsid w:val="00D02BEF"/>
    <w:rsid w:val="00D07766"/>
    <w:rsid w:val="00D15BA4"/>
    <w:rsid w:val="00D1777F"/>
    <w:rsid w:val="00D177A4"/>
    <w:rsid w:val="00D17FAE"/>
    <w:rsid w:val="00D20DF0"/>
    <w:rsid w:val="00D21500"/>
    <w:rsid w:val="00D24EE0"/>
    <w:rsid w:val="00D257A5"/>
    <w:rsid w:val="00D25E5F"/>
    <w:rsid w:val="00D27738"/>
    <w:rsid w:val="00D27775"/>
    <w:rsid w:val="00D40635"/>
    <w:rsid w:val="00D41594"/>
    <w:rsid w:val="00D415FF"/>
    <w:rsid w:val="00D51E0E"/>
    <w:rsid w:val="00D5268F"/>
    <w:rsid w:val="00D54EBB"/>
    <w:rsid w:val="00D55BC8"/>
    <w:rsid w:val="00D6096D"/>
    <w:rsid w:val="00D626FF"/>
    <w:rsid w:val="00D64898"/>
    <w:rsid w:val="00D65109"/>
    <w:rsid w:val="00D700A8"/>
    <w:rsid w:val="00D724CE"/>
    <w:rsid w:val="00D73D3B"/>
    <w:rsid w:val="00D74486"/>
    <w:rsid w:val="00D75E1C"/>
    <w:rsid w:val="00D76118"/>
    <w:rsid w:val="00D7638D"/>
    <w:rsid w:val="00D82662"/>
    <w:rsid w:val="00D850A1"/>
    <w:rsid w:val="00D91E7F"/>
    <w:rsid w:val="00D92516"/>
    <w:rsid w:val="00D9451A"/>
    <w:rsid w:val="00D9534A"/>
    <w:rsid w:val="00D9655B"/>
    <w:rsid w:val="00DA218D"/>
    <w:rsid w:val="00DA2FD2"/>
    <w:rsid w:val="00DA6A25"/>
    <w:rsid w:val="00DA77FC"/>
    <w:rsid w:val="00DB1C9C"/>
    <w:rsid w:val="00DB5F21"/>
    <w:rsid w:val="00DC336B"/>
    <w:rsid w:val="00DC5706"/>
    <w:rsid w:val="00DC7068"/>
    <w:rsid w:val="00DD076F"/>
    <w:rsid w:val="00DE3465"/>
    <w:rsid w:val="00DF331F"/>
    <w:rsid w:val="00E04003"/>
    <w:rsid w:val="00E07CFA"/>
    <w:rsid w:val="00E1317B"/>
    <w:rsid w:val="00E13407"/>
    <w:rsid w:val="00E2171A"/>
    <w:rsid w:val="00E21921"/>
    <w:rsid w:val="00E230C0"/>
    <w:rsid w:val="00E23566"/>
    <w:rsid w:val="00E24CE5"/>
    <w:rsid w:val="00E25594"/>
    <w:rsid w:val="00E36BC9"/>
    <w:rsid w:val="00E40273"/>
    <w:rsid w:val="00E40EF5"/>
    <w:rsid w:val="00E42568"/>
    <w:rsid w:val="00E43BA4"/>
    <w:rsid w:val="00E510BC"/>
    <w:rsid w:val="00E604EA"/>
    <w:rsid w:val="00E65A42"/>
    <w:rsid w:val="00E65ED1"/>
    <w:rsid w:val="00E6785D"/>
    <w:rsid w:val="00E70C2D"/>
    <w:rsid w:val="00E728F3"/>
    <w:rsid w:val="00E76AF6"/>
    <w:rsid w:val="00E80A90"/>
    <w:rsid w:val="00E84CCD"/>
    <w:rsid w:val="00E86B31"/>
    <w:rsid w:val="00E8727F"/>
    <w:rsid w:val="00E9264F"/>
    <w:rsid w:val="00E966F4"/>
    <w:rsid w:val="00E967E7"/>
    <w:rsid w:val="00E96865"/>
    <w:rsid w:val="00E97CDF"/>
    <w:rsid w:val="00EA6757"/>
    <w:rsid w:val="00EB1B13"/>
    <w:rsid w:val="00EB1FC2"/>
    <w:rsid w:val="00EB62A6"/>
    <w:rsid w:val="00EB70FE"/>
    <w:rsid w:val="00EC2855"/>
    <w:rsid w:val="00EC2967"/>
    <w:rsid w:val="00EC3B08"/>
    <w:rsid w:val="00EC4EFD"/>
    <w:rsid w:val="00EC6E35"/>
    <w:rsid w:val="00ED71B9"/>
    <w:rsid w:val="00EE3E30"/>
    <w:rsid w:val="00EF3949"/>
    <w:rsid w:val="00F01CA1"/>
    <w:rsid w:val="00F0227D"/>
    <w:rsid w:val="00F04F9E"/>
    <w:rsid w:val="00F1336B"/>
    <w:rsid w:val="00F176E3"/>
    <w:rsid w:val="00F25712"/>
    <w:rsid w:val="00F32465"/>
    <w:rsid w:val="00F33C17"/>
    <w:rsid w:val="00F35B86"/>
    <w:rsid w:val="00F41C51"/>
    <w:rsid w:val="00F43C17"/>
    <w:rsid w:val="00F45971"/>
    <w:rsid w:val="00F469EC"/>
    <w:rsid w:val="00F54FD5"/>
    <w:rsid w:val="00F572C5"/>
    <w:rsid w:val="00F604AE"/>
    <w:rsid w:val="00F61C7C"/>
    <w:rsid w:val="00F6206C"/>
    <w:rsid w:val="00F62F66"/>
    <w:rsid w:val="00F6347A"/>
    <w:rsid w:val="00F63EBC"/>
    <w:rsid w:val="00F63F4F"/>
    <w:rsid w:val="00F648E5"/>
    <w:rsid w:val="00F66954"/>
    <w:rsid w:val="00F74FBB"/>
    <w:rsid w:val="00F77B6B"/>
    <w:rsid w:val="00F83858"/>
    <w:rsid w:val="00F83AE5"/>
    <w:rsid w:val="00F856C1"/>
    <w:rsid w:val="00F87104"/>
    <w:rsid w:val="00F904CA"/>
    <w:rsid w:val="00F926B5"/>
    <w:rsid w:val="00F92C97"/>
    <w:rsid w:val="00F96E93"/>
    <w:rsid w:val="00FA106B"/>
    <w:rsid w:val="00FA25E3"/>
    <w:rsid w:val="00FA5BED"/>
    <w:rsid w:val="00FA791D"/>
    <w:rsid w:val="00FB2937"/>
    <w:rsid w:val="00FB591D"/>
    <w:rsid w:val="00FB5F26"/>
    <w:rsid w:val="00FC2A5B"/>
    <w:rsid w:val="00FC5E97"/>
    <w:rsid w:val="00FD0A69"/>
    <w:rsid w:val="00FD2F86"/>
    <w:rsid w:val="00FD3D1D"/>
    <w:rsid w:val="00FD5810"/>
    <w:rsid w:val="00FD608F"/>
    <w:rsid w:val="00FD6A07"/>
    <w:rsid w:val="00FD78E5"/>
    <w:rsid w:val="00FE08F2"/>
    <w:rsid w:val="00FE2728"/>
    <w:rsid w:val="00FE5034"/>
    <w:rsid w:val="00FE63AA"/>
    <w:rsid w:val="00FE76DD"/>
    <w:rsid w:val="00FF45F4"/>
    <w:rsid w:val="00FF52BD"/>
    <w:rsid w:val="00FF7D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59579B"/>
  <w15:chartTrackingRefBased/>
  <w15:docId w15:val="{A723DAF0-15D3-488E-B3BD-A164DE2E1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1AA9"/>
    <w:pPr>
      <w:overflowPunct w:val="0"/>
      <w:autoSpaceDE w:val="0"/>
      <w:autoSpaceDN w:val="0"/>
      <w:adjustRightInd w:val="0"/>
      <w:spacing w:after="120" w:line="240" w:lineRule="auto"/>
      <w:jc w:val="both"/>
      <w:textAlignment w:val="baseline"/>
    </w:pPr>
    <w:rPr>
      <w:sz w:val="20"/>
      <w:szCs w:val="20"/>
      <w:lang w:val="en-GB" w:eastAsia="zh-CN"/>
    </w:rPr>
  </w:style>
  <w:style w:type="paragraph" w:styleId="Heading1">
    <w:name w:val="heading 1"/>
    <w:aliases w:val="h1,h11,h12,h13,h14,h15,h16,h17,h111,h121,h131,h141,h151,h161,h18,h112,h122,h132,h142,h152,h162,h19,h113,h123,h133,h143,h153,h163,H1,app heading 1,l1,Memo Heading 1,Heading 1_a"/>
    <w:next w:val="Normal"/>
    <w:link w:val="Heading1Char"/>
    <w:uiPriority w:val="9"/>
    <w:qFormat/>
    <w:rsid w:val="004F5C1E"/>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
    <w:basedOn w:val="Heading1"/>
    <w:next w:val="Normal"/>
    <w:link w:val="Heading2Char"/>
    <w:qFormat/>
    <w:rsid w:val="004F5C1E"/>
    <w:pPr>
      <w:numPr>
        <w:ilvl w:val="1"/>
      </w:numPr>
      <w:pBdr>
        <w:top w:val="none" w:sz="0" w:space="0" w:color="auto"/>
      </w:pBdr>
      <w:spacing w:before="180"/>
      <w:outlineLvl w:val="1"/>
    </w:pPr>
    <w:rPr>
      <w:sz w:val="28"/>
      <w:szCs w:val="32"/>
    </w:rPr>
  </w:style>
  <w:style w:type="paragraph" w:styleId="Heading3">
    <w:name w:val="heading 3"/>
    <w:aliases w:val="H3,h3"/>
    <w:basedOn w:val="Heading2"/>
    <w:next w:val="Normal"/>
    <w:link w:val="Heading3Char"/>
    <w:qFormat/>
    <w:rsid w:val="004F5C1E"/>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
    <w:basedOn w:val="Heading3"/>
    <w:next w:val="Normal"/>
    <w:link w:val="Heading4Char"/>
    <w:qFormat/>
    <w:rsid w:val="004F5C1E"/>
    <w:pPr>
      <w:numPr>
        <w:ilvl w:val="3"/>
      </w:numPr>
      <w:outlineLvl w:val="3"/>
    </w:pPr>
    <w:rPr>
      <w:szCs w:val="24"/>
    </w:rPr>
  </w:style>
  <w:style w:type="paragraph" w:styleId="Heading5">
    <w:name w:val="heading 5"/>
    <w:aliases w:val="h5,Heading5"/>
    <w:basedOn w:val="Heading4"/>
    <w:next w:val="Normal"/>
    <w:link w:val="Heading5Char"/>
    <w:qFormat/>
    <w:rsid w:val="004F5C1E"/>
    <w:pPr>
      <w:numPr>
        <w:ilvl w:val="4"/>
      </w:numPr>
      <w:outlineLvl w:val="4"/>
    </w:pPr>
    <w:rPr>
      <w:sz w:val="22"/>
      <w:szCs w:val="22"/>
    </w:rPr>
  </w:style>
  <w:style w:type="paragraph" w:styleId="Heading6">
    <w:name w:val="heading 6"/>
    <w:aliases w:val="h6"/>
    <w:basedOn w:val="Normal"/>
    <w:next w:val="Normal"/>
    <w:link w:val="Heading6Char"/>
    <w:qFormat/>
    <w:rsid w:val="004F5C1E"/>
    <w:pPr>
      <w:keepNext/>
      <w:keepLines/>
      <w:numPr>
        <w:ilvl w:val="5"/>
        <w:numId w:val="5"/>
      </w:numPr>
      <w:spacing w:before="120"/>
      <w:outlineLvl w:val="5"/>
    </w:pPr>
    <w:rPr>
      <w:rFonts w:eastAsiaTheme="majorEastAsia" w:cs="Arial"/>
    </w:rPr>
  </w:style>
  <w:style w:type="paragraph" w:styleId="Heading7">
    <w:name w:val="heading 7"/>
    <w:basedOn w:val="Normal"/>
    <w:next w:val="Normal"/>
    <w:link w:val="Heading7Char"/>
    <w:qFormat/>
    <w:rsid w:val="004F5C1E"/>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4F5C1E"/>
    <w:pPr>
      <w:numPr>
        <w:ilvl w:val="7"/>
        <w:numId w:val="7"/>
      </w:numPr>
      <w:outlineLvl w:val="7"/>
    </w:pPr>
  </w:style>
  <w:style w:type="paragraph" w:styleId="Heading9">
    <w:name w:val="heading 9"/>
    <w:aliases w:val="Figure Heading,FH"/>
    <w:basedOn w:val="Heading8"/>
    <w:next w:val="Normal"/>
    <w:link w:val="Heading9Char"/>
    <w:qFormat/>
    <w:rsid w:val="004F5C1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4F5C1E"/>
    <w:pPr>
      <w:numPr>
        <w:numId w:val="6"/>
      </w:numPr>
    </w:pPr>
    <w:rPr>
      <w:rFonts w:eastAsia="Times New Roman" w:cs="Times New Roman"/>
    </w:rPr>
  </w:style>
  <w:style w:type="paragraph" w:customStyle="1" w:styleId="Proposal">
    <w:name w:val="Proposal"/>
    <w:basedOn w:val="Normal"/>
    <w:qFormat/>
    <w:rsid w:val="004F5C1E"/>
    <w:pPr>
      <w:numPr>
        <w:numId w:val="7"/>
      </w:numPr>
      <w:tabs>
        <w:tab w:val="num" w:leader="heavy" w:pos="2725"/>
      </w:tabs>
    </w:pPr>
    <w:rPr>
      <w:rFonts w:eastAsia="Times New Roman" w:cs="Times New Roman"/>
      <w:b/>
      <w:bCs/>
    </w:rPr>
  </w:style>
  <w:style w:type="paragraph" w:customStyle="1" w:styleId="Observation">
    <w:name w:val="Observation"/>
    <w:basedOn w:val="Normal"/>
    <w:autoRedefine/>
    <w:qFormat/>
    <w:rsid w:val="004F5C1E"/>
    <w:pPr>
      <w:numPr>
        <w:numId w:val="8"/>
      </w:numPr>
      <w:ind w:left="1530" w:hanging="1530"/>
    </w:pPr>
    <w:rPr>
      <w:b/>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
    <w:rsid w:val="004F5C1E"/>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4F5C1E"/>
    <w:rPr>
      <w:rFonts w:ascii="Arial" w:eastAsiaTheme="majorEastAsia" w:hAnsi="Arial" w:cs="Arial"/>
      <w:sz w:val="28"/>
      <w:szCs w:val="32"/>
      <w:lang w:val="en-GB" w:eastAsia="zh-CN"/>
    </w:rPr>
  </w:style>
  <w:style w:type="character" w:customStyle="1" w:styleId="Heading3Char">
    <w:name w:val="Heading 3 Char"/>
    <w:aliases w:val="H3 Char,h3 Char"/>
    <w:basedOn w:val="DefaultParagraphFont"/>
    <w:link w:val="Heading3"/>
    <w:rsid w:val="004F5C1E"/>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F5C1E"/>
    <w:rPr>
      <w:rFonts w:ascii="Arial" w:eastAsiaTheme="majorEastAsia" w:hAnsi="Arial" w:cs="Arial"/>
      <w:sz w:val="24"/>
      <w:szCs w:val="24"/>
      <w:lang w:val="en-GB" w:eastAsia="zh-CN"/>
    </w:rPr>
  </w:style>
  <w:style w:type="character" w:customStyle="1" w:styleId="Heading5Char">
    <w:name w:val="Heading 5 Char"/>
    <w:aliases w:val="h5 Char,Heading5 Char"/>
    <w:basedOn w:val="DefaultParagraphFont"/>
    <w:link w:val="Heading5"/>
    <w:rsid w:val="004F5C1E"/>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4F5C1E"/>
    <w:rPr>
      <w:rFonts w:eastAsiaTheme="majorEastAsia" w:cs="Arial"/>
      <w:sz w:val="20"/>
      <w:szCs w:val="20"/>
      <w:lang w:val="en-GB" w:eastAsia="zh-CN"/>
    </w:rPr>
  </w:style>
  <w:style w:type="character" w:customStyle="1" w:styleId="Heading7Char">
    <w:name w:val="Heading 7 Char"/>
    <w:basedOn w:val="DefaultParagraphFont"/>
    <w:link w:val="Heading7"/>
    <w:rsid w:val="004F5C1E"/>
    <w:rPr>
      <w:rFonts w:eastAsiaTheme="majorEastAsia" w:cs="Arial"/>
      <w:sz w:val="20"/>
      <w:szCs w:val="20"/>
      <w:lang w:val="en-GB" w:eastAsia="zh-CN"/>
    </w:rPr>
  </w:style>
  <w:style w:type="character" w:customStyle="1" w:styleId="Heading8Char">
    <w:name w:val="Heading 8 Char"/>
    <w:basedOn w:val="DefaultParagraphFont"/>
    <w:link w:val="Heading8"/>
    <w:rsid w:val="004F5C1E"/>
    <w:rPr>
      <w:rFonts w:eastAsiaTheme="majorEastAsia" w:cs="Arial"/>
      <w:sz w:val="20"/>
      <w:szCs w:val="20"/>
      <w:lang w:val="en-GB" w:eastAsia="zh-CN"/>
    </w:rPr>
  </w:style>
  <w:style w:type="character" w:customStyle="1" w:styleId="Heading9Char">
    <w:name w:val="Heading 9 Char"/>
    <w:aliases w:val="Figure Heading Char,FH Char"/>
    <w:basedOn w:val="DefaultParagraphFont"/>
    <w:link w:val="Heading9"/>
    <w:rsid w:val="004F5C1E"/>
    <w:rPr>
      <w:rFonts w:eastAsiaTheme="majorEastAsia" w:cs="Arial"/>
      <w:sz w:val="20"/>
      <w:szCs w:val="20"/>
      <w:lang w:val="en-GB" w:eastAsia="zh-CN"/>
    </w:rPr>
  </w:style>
  <w:style w:type="paragraph" w:styleId="Caption">
    <w:name w:val="caption"/>
    <w:basedOn w:val="Normal"/>
    <w:next w:val="Normal"/>
    <w:qFormat/>
    <w:rsid w:val="004F5C1E"/>
    <w:pPr>
      <w:spacing w:after="240"/>
      <w:jc w:val="center"/>
    </w:pPr>
    <w:rPr>
      <w:b/>
      <w:bCs/>
    </w:rPr>
  </w:style>
  <w:style w:type="paragraph" w:styleId="BodyText">
    <w:name w:val="Body Text"/>
    <w:basedOn w:val="Normal"/>
    <w:link w:val="BodyTextChar"/>
    <w:qFormat/>
    <w:rsid w:val="004F5C1E"/>
    <w:rPr>
      <w:rFonts w:eastAsia="Times New Roman" w:cs="Times New Roman"/>
    </w:rPr>
  </w:style>
  <w:style w:type="character" w:customStyle="1" w:styleId="BodyTextChar">
    <w:name w:val="Body Text Char"/>
    <w:basedOn w:val="DefaultParagraphFont"/>
    <w:link w:val="BodyText"/>
    <w:rsid w:val="004F5C1E"/>
    <w:rPr>
      <w:rFonts w:eastAsia="Times New Roman" w:cs="Times New Roman"/>
      <w:sz w:val="20"/>
      <w:szCs w:val="20"/>
      <w:lang w:val="en-GB" w:eastAsia="zh-CN"/>
    </w:rPr>
  </w:style>
  <w:style w:type="paragraph" w:styleId="ListParagraph">
    <w:name w:val="List Paragraph"/>
    <w:aliases w:val="Bullet,- Bullets,목록 단락,リスト段落,?? ??,?????,????,Lista1,列出段落,中等深浅网格 1 - 着色 21,列出段落1,列表段落"/>
    <w:basedOn w:val="Normal"/>
    <w:link w:val="ListParagraphChar"/>
    <w:uiPriority w:val="34"/>
    <w:qFormat/>
    <w:rsid w:val="004F5C1E"/>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
    <w:link w:val="ListParagraph"/>
    <w:uiPriority w:val="34"/>
    <w:qFormat/>
    <w:locked/>
    <w:rsid w:val="004F5C1E"/>
    <w:rPr>
      <w:rFonts w:eastAsia="SimSun"/>
      <w:lang w:val="en-GB" w:eastAsia="ja-JP"/>
    </w:rPr>
  </w:style>
  <w:style w:type="table" w:styleId="TableGrid">
    <w:name w:val="Table Grid"/>
    <w:basedOn w:val="TableNormal"/>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D51E0E"/>
    <w:rPr>
      <w:rFonts w:ascii="Courier New" w:eastAsia="Batang" w:hAnsi="Courier New" w:cs="Times New Roman"/>
      <w:noProof/>
      <w:sz w:val="16"/>
      <w:szCs w:val="20"/>
      <w:shd w:val="clear" w:color="auto" w:fill="E6E6E6"/>
      <w:lang w:val="en-GB" w:eastAsia="sv-SE"/>
    </w:rPr>
  </w:style>
  <w:style w:type="paragraph" w:styleId="TOC1">
    <w:name w:val="toc 1"/>
    <w:basedOn w:val="Normal"/>
    <w:next w:val="Normal"/>
    <w:autoRedefine/>
    <w:uiPriority w:val="39"/>
    <w:unhideWhenUsed/>
    <w:rsid w:val="00870A95"/>
    <w:pPr>
      <w:tabs>
        <w:tab w:val="left" w:pos="1540"/>
        <w:tab w:val="right" w:leader="dot" w:pos="9350"/>
      </w:tabs>
      <w:spacing w:after="100"/>
      <w:ind w:left="1530" w:hanging="1530"/>
    </w:pPr>
    <w:rPr>
      <w:rFonts w:eastAsia="Malgun Gothic" w:cstheme="minorHAnsi"/>
      <w:b/>
      <w:noProof/>
      <w:lang w:val="en-US" w:eastAsia="en-US"/>
    </w:rPr>
  </w:style>
  <w:style w:type="character" w:styleId="Hyperlink">
    <w:name w:val="Hyperlink"/>
    <w:basedOn w:val="DefaultParagraphFont"/>
    <w:uiPriority w:val="99"/>
    <w:unhideWhenUsed/>
    <w:rsid w:val="00E65ED1"/>
    <w:rPr>
      <w:color w:val="0563C1" w:themeColor="hyperlink"/>
      <w:u w:val="single"/>
    </w:rPr>
  </w:style>
  <w:style w:type="paragraph" w:customStyle="1" w:styleId="Style1">
    <w:name w:val="Style1"/>
    <w:basedOn w:val="Normal"/>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iPriority w:val="99"/>
    <w:semiHidden/>
    <w:unhideWhenUsed/>
    <w:rsid w:val="001D0914"/>
    <w:rPr>
      <w:sz w:val="18"/>
      <w:szCs w:val="18"/>
    </w:rPr>
  </w:style>
  <w:style w:type="paragraph" w:styleId="CommentText">
    <w:name w:val="annotation text"/>
    <w:basedOn w:val="Normal"/>
    <w:link w:val="CommentTextChar"/>
    <w:uiPriority w:val="99"/>
    <w:semiHidden/>
    <w:unhideWhenUsed/>
    <w:rsid w:val="001D0914"/>
    <w:pPr>
      <w:jc w:val="left"/>
    </w:pPr>
  </w:style>
  <w:style w:type="character" w:customStyle="1" w:styleId="CommentTextChar">
    <w:name w:val="Comment Text Char"/>
    <w:basedOn w:val="DefaultParagraphFont"/>
    <w:link w:val="CommentText"/>
    <w:uiPriority w:val="99"/>
    <w:semiHidden/>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customStyle="1" w:styleId="0Maintext">
    <w:name w:val="0 Main text"/>
    <w:basedOn w:val="Normal"/>
    <w:link w:val="0MaintextChar"/>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DefaultParagraphFont"/>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Normal"/>
    <w:link w:val="LGTdocChar"/>
    <w:qFormat/>
    <w:rsid w:val="004F5C1E"/>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4F5C1E"/>
    <w:rPr>
      <w:rFonts w:ascii="Times New Roman" w:eastAsia="Batang" w:hAnsi="Times New Roman" w:cs="Times New Roman"/>
      <w:kern w:val="2"/>
      <w:szCs w:val="24"/>
      <w:lang w:val="en-GB" w:eastAsia="ko-KR"/>
    </w:rPr>
  </w:style>
  <w:style w:type="paragraph" w:styleId="Title">
    <w:name w:val="Title"/>
    <w:basedOn w:val="Normal"/>
    <w:next w:val="Normal"/>
    <w:link w:val="TitleChar"/>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5C1E"/>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4F5C1E"/>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4F5C1E"/>
    <w:rPr>
      <w:color w:val="5A5A5A" w:themeColor="text1" w:themeTint="A5"/>
      <w:spacing w:val="15"/>
      <w:lang w:val="en-GB" w:eastAsia="zh-CN"/>
    </w:rPr>
  </w:style>
  <w:style w:type="character" w:styleId="Strong">
    <w:name w:val="Strong"/>
    <w:basedOn w:val="DefaultParagraphFont"/>
    <w:uiPriority w:val="22"/>
    <w:qFormat/>
    <w:rsid w:val="004F5C1E"/>
    <w:rPr>
      <w:b/>
      <w:bCs/>
    </w:rPr>
  </w:style>
  <w:style w:type="character" w:styleId="Emphasis">
    <w:name w:val="Emphasis"/>
    <w:basedOn w:val="DefaultParagraphFont"/>
    <w:uiPriority w:val="20"/>
    <w:qFormat/>
    <w:rsid w:val="004F5C1E"/>
    <w:rPr>
      <w:i/>
      <w:iCs/>
    </w:rPr>
  </w:style>
  <w:style w:type="paragraph" w:styleId="NoSpacing">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4F5C1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F5C1E"/>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F5C1E"/>
    <w:rPr>
      <w:i/>
      <w:iCs/>
      <w:color w:val="4472C4" w:themeColor="accent1"/>
      <w:sz w:val="20"/>
      <w:szCs w:val="20"/>
      <w:lang w:val="en-GB" w:eastAsia="zh-CN"/>
    </w:rPr>
  </w:style>
  <w:style w:type="character" w:styleId="SubtleEmphasis">
    <w:name w:val="Subtle Emphasis"/>
    <w:basedOn w:val="DefaultParagraphFont"/>
    <w:uiPriority w:val="19"/>
    <w:qFormat/>
    <w:rsid w:val="004F5C1E"/>
    <w:rPr>
      <w:i/>
      <w:iCs/>
      <w:color w:val="404040" w:themeColor="text1" w:themeTint="BF"/>
    </w:rPr>
  </w:style>
  <w:style w:type="character" w:styleId="IntenseEmphasis">
    <w:name w:val="Intense Emphasis"/>
    <w:basedOn w:val="DefaultParagraphFont"/>
    <w:uiPriority w:val="21"/>
    <w:qFormat/>
    <w:rsid w:val="004F5C1E"/>
    <w:rPr>
      <w:i/>
      <w:iCs/>
      <w:color w:val="4472C4" w:themeColor="accent1"/>
    </w:rPr>
  </w:style>
  <w:style w:type="character" w:styleId="SubtleReference">
    <w:name w:val="Subtle Reference"/>
    <w:basedOn w:val="DefaultParagraphFont"/>
    <w:uiPriority w:val="31"/>
    <w:qFormat/>
    <w:rsid w:val="004F5C1E"/>
    <w:rPr>
      <w:smallCaps/>
      <w:color w:val="5A5A5A" w:themeColor="text1" w:themeTint="A5"/>
    </w:rPr>
  </w:style>
  <w:style w:type="character" w:styleId="IntenseReference">
    <w:name w:val="Intense Reference"/>
    <w:basedOn w:val="DefaultParagraphFont"/>
    <w:uiPriority w:val="32"/>
    <w:qFormat/>
    <w:rsid w:val="004F5C1E"/>
    <w:rPr>
      <w:b/>
      <w:bCs/>
      <w:smallCaps/>
      <w:color w:val="4472C4" w:themeColor="accent1"/>
      <w:spacing w:val="5"/>
    </w:rPr>
  </w:style>
  <w:style w:type="character" w:styleId="BookTitle">
    <w:name w:val="Book Title"/>
    <w:basedOn w:val="DefaultParagraphFont"/>
    <w:uiPriority w:val="33"/>
    <w:qFormat/>
    <w:rsid w:val="004F5C1E"/>
    <w:rPr>
      <w:b/>
      <w:bCs/>
      <w:i/>
      <w:iCs/>
      <w:spacing w:val="5"/>
    </w:rPr>
  </w:style>
  <w:style w:type="paragraph" w:styleId="TOCHeading">
    <w:name w:val="TOC Heading"/>
    <w:basedOn w:val="Heading1"/>
    <w:next w:val="Normal"/>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Normal"/>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MTI Tdoc</Template>
  <TotalTime>1044</TotalTime>
  <Pages>4</Pages>
  <Words>1304</Words>
  <Characters>7437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APT</Company>
  <LinksUpToDate>false</LinksUpToDate>
  <CharactersWithSpaces>8724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CHENG</dc:creator>
  <cp:keywords/>
  <dc:description/>
  <cp:lastModifiedBy>Chien-Chun</cp:lastModifiedBy>
  <cp:revision>69</cp:revision>
  <dcterms:created xsi:type="dcterms:W3CDTF">2019-05-24T07:37:00Z</dcterms:created>
  <dcterms:modified xsi:type="dcterms:W3CDTF">2020-08-07T03:45:00Z</dcterms:modified>
</cp:coreProperties>
</file>